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600" w:lineRule="exact"/>
        <w:jc w:val="center"/>
        <w:rPr>
          <w:rFonts w:ascii="宋体" w:hAnsi="宋体"/>
          <w:sz w:val="44"/>
          <w:szCs w:val="44"/>
        </w:rPr>
      </w:pPr>
      <w:r>
        <w:rPr>
          <w:rFonts w:hint="eastAsia" w:ascii="宋体" w:hAnsi="宋体"/>
          <w:bCs/>
          <w:sz w:val="44"/>
          <w:szCs w:val="44"/>
        </w:rPr>
        <w:t>滠口街道办事处(本级)</w:t>
      </w:r>
      <w:r>
        <w:rPr>
          <w:rFonts w:hint="eastAsia" w:ascii="宋体" w:hAnsi="宋体"/>
          <w:sz w:val="44"/>
          <w:szCs w:val="44"/>
        </w:rPr>
        <w:t>2021年部门预算</w:t>
      </w:r>
    </w:p>
    <w:p>
      <w:pPr>
        <w:snapToGrid w:val="0"/>
        <w:spacing w:line="600" w:lineRule="exact"/>
        <w:ind w:right="24"/>
        <w:jc w:val="center"/>
        <w:rPr>
          <w:rFonts w:ascii="宋体" w:hAnsi="宋体"/>
          <w:sz w:val="28"/>
          <w:szCs w:val="28"/>
        </w:rPr>
      </w:pPr>
      <w:r>
        <w:rPr>
          <w:rFonts w:hint="eastAsia" w:ascii="宋体" w:hAnsi="宋体"/>
          <w:sz w:val="28"/>
          <w:szCs w:val="28"/>
        </w:rPr>
        <w:t>目  录</w:t>
      </w:r>
    </w:p>
    <w:p>
      <w:pPr>
        <w:snapToGrid w:val="0"/>
        <w:spacing w:line="600" w:lineRule="exact"/>
        <w:ind w:right="24" w:firstLine="560" w:firstLineChars="200"/>
        <w:rPr>
          <w:rFonts w:ascii="宋体" w:hAnsi="宋体"/>
          <w:bCs/>
          <w:sz w:val="28"/>
          <w:szCs w:val="28"/>
        </w:rPr>
      </w:pPr>
      <w:r>
        <w:rPr>
          <w:rFonts w:hint="eastAsia" w:ascii="宋体" w:hAnsi="宋体"/>
          <w:sz w:val="28"/>
          <w:szCs w:val="28"/>
        </w:rPr>
        <w:t xml:space="preserve">第一部分  </w:t>
      </w:r>
      <w:r>
        <w:rPr>
          <w:rFonts w:hint="eastAsia" w:ascii="宋体" w:hAnsi="宋体"/>
          <w:bCs/>
          <w:sz w:val="28"/>
          <w:szCs w:val="28"/>
        </w:rPr>
        <w:t>滠口街道办事处(本级)概况</w:t>
      </w:r>
    </w:p>
    <w:p>
      <w:pPr>
        <w:snapToGrid w:val="0"/>
        <w:spacing w:line="600" w:lineRule="exact"/>
        <w:ind w:right="24" w:firstLine="560" w:firstLineChars="200"/>
        <w:rPr>
          <w:rFonts w:ascii="宋体" w:hAnsi="宋体"/>
          <w:bCs/>
          <w:sz w:val="28"/>
          <w:szCs w:val="28"/>
        </w:rPr>
      </w:pPr>
      <w:r>
        <w:rPr>
          <w:rFonts w:hint="eastAsia" w:ascii="宋体" w:hAnsi="宋体"/>
          <w:bCs/>
          <w:sz w:val="28"/>
          <w:szCs w:val="28"/>
        </w:rPr>
        <w:t>一、部门主要职能</w:t>
      </w:r>
    </w:p>
    <w:p>
      <w:pPr>
        <w:snapToGrid w:val="0"/>
        <w:spacing w:line="600" w:lineRule="exact"/>
        <w:ind w:right="24" w:firstLine="560" w:firstLineChars="200"/>
        <w:rPr>
          <w:rFonts w:ascii="宋体" w:hAnsi="宋体"/>
          <w:sz w:val="28"/>
          <w:szCs w:val="28"/>
        </w:rPr>
      </w:pPr>
      <w:r>
        <w:rPr>
          <w:rFonts w:hint="eastAsia" w:ascii="宋体" w:hAnsi="宋体"/>
          <w:sz w:val="28"/>
          <w:szCs w:val="28"/>
        </w:rPr>
        <w:t>二、部门预算单位构成</w:t>
      </w:r>
    </w:p>
    <w:p>
      <w:pPr>
        <w:snapToGrid w:val="0"/>
        <w:spacing w:line="600" w:lineRule="exact"/>
        <w:ind w:firstLine="560" w:firstLineChars="200"/>
        <w:rPr>
          <w:rFonts w:ascii="宋体" w:hAnsi="宋体"/>
          <w:bCs/>
          <w:sz w:val="28"/>
          <w:szCs w:val="28"/>
        </w:rPr>
      </w:pPr>
      <w:r>
        <w:rPr>
          <w:rFonts w:hint="eastAsia" w:ascii="宋体" w:hAnsi="宋体"/>
          <w:bCs/>
          <w:sz w:val="28"/>
          <w:szCs w:val="28"/>
        </w:rPr>
        <w:t>三、部门人员构成</w:t>
      </w:r>
    </w:p>
    <w:p>
      <w:pPr>
        <w:snapToGrid w:val="0"/>
        <w:spacing w:line="600" w:lineRule="exact"/>
        <w:ind w:right="24" w:firstLine="560" w:firstLineChars="200"/>
        <w:rPr>
          <w:rFonts w:ascii="宋体" w:hAnsi="宋体"/>
          <w:bCs/>
          <w:sz w:val="28"/>
          <w:szCs w:val="28"/>
        </w:rPr>
      </w:pPr>
      <w:r>
        <w:rPr>
          <w:rFonts w:hint="eastAsia" w:ascii="宋体" w:hAnsi="宋体"/>
          <w:sz w:val="28"/>
          <w:szCs w:val="28"/>
        </w:rPr>
        <w:t xml:space="preserve">第二部分  </w:t>
      </w:r>
      <w:r>
        <w:rPr>
          <w:rFonts w:hint="eastAsia" w:ascii="宋体" w:hAnsi="宋体"/>
          <w:bCs/>
          <w:sz w:val="28"/>
          <w:szCs w:val="28"/>
        </w:rPr>
        <w:t>滠口街道办事处(本级)2021年部门预算表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一、财政拨款收支预算总表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二、一般公共预算支出表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三、一般公共预算基本支出表</w:t>
      </w:r>
    </w:p>
    <w:p>
      <w:pPr>
        <w:adjustRightInd w:val="0"/>
        <w:snapToGrid w:val="0"/>
        <w:spacing w:line="600" w:lineRule="exact"/>
        <w:ind w:firstLine="560" w:firstLineChars="200"/>
        <w:jc w:val="left"/>
        <w:rPr>
          <w:rFonts w:ascii="宋体" w:hAnsi="宋体"/>
          <w:sz w:val="28"/>
          <w:szCs w:val="28"/>
        </w:rPr>
      </w:pPr>
      <w:r>
        <w:rPr>
          <w:rFonts w:hint="eastAsia" w:ascii="宋体" w:hAnsi="宋体"/>
          <w:bCs/>
          <w:sz w:val="28"/>
          <w:szCs w:val="28"/>
        </w:rPr>
        <w:t>四、一般公共预算</w:t>
      </w:r>
      <w:r>
        <w:rPr>
          <w:rFonts w:hint="eastAsia" w:ascii="宋体" w:hAnsi="宋体"/>
          <w:sz w:val="28"/>
          <w:szCs w:val="28"/>
        </w:rPr>
        <w:t>“三公”经费支出表</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五、政府性基金预算支出表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六、部门收支总表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七、部门收入总表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八、部门支出总表</w:t>
      </w:r>
    </w:p>
    <w:p>
      <w:pPr>
        <w:snapToGrid w:val="0"/>
        <w:spacing w:line="600" w:lineRule="exact"/>
        <w:ind w:right="24" w:firstLine="560" w:firstLineChars="200"/>
        <w:rPr>
          <w:rFonts w:ascii="宋体" w:hAnsi="宋体"/>
          <w:sz w:val="28"/>
          <w:szCs w:val="28"/>
        </w:rPr>
      </w:pPr>
      <w:r>
        <w:rPr>
          <w:rFonts w:hint="eastAsia" w:ascii="宋体" w:hAnsi="宋体"/>
          <w:sz w:val="28"/>
          <w:szCs w:val="28"/>
        </w:rPr>
        <w:t xml:space="preserve">第三部分  </w:t>
      </w:r>
      <w:r>
        <w:rPr>
          <w:rFonts w:hint="eastAsia" w:ascii="宋体" w:hAnsi="宋体"/>
          <w:bCs/>
          <w:sz w:val="28"/>
          <w:szCs w:val="28"/>
        </w:rPr>
        <w:t>滠口街道办事处(本级)</w:t>
      </w:r>
      <w:r>
        <w:rPr>
          <w:rFonts w:hint="eastAsia" w:ascii="宋体" w:hAnsi="宋体"/>
          <w:sz w:val="28"/>
          <w:szCs w:val="28"/>
        </w:rPr>
        <w:t>2021年部门预算情况说明</w:t>
      </w:r>
    </w:p>
    <w:p>
      <w:pPr>
        <w:snapToGrid w:val="0"/>
        <w:spacing w:line="600" w:lineRule="exact"/>
        <w:ind w:right="24" w:firstLine="560" w:firstLineChars="200"/>
        <w:rPr>
          <w:rFonts w:ascii="宋体" w:hAnsi="宋体"/>
          <w:sz w:val="28"/>
          <w:szCs w:val="28"/>
        </w:rPr>
      </w:pPr>
      <w:r>
        <w:rPr>
          <w:rFonts w:hint="eastAsia" w:ascii="宋体" w:hAnsi="宋体"/>
          <w:sz w:val="28"/>
          <w:szCs w:val="28"/>
        </w:rPr>
        <w:t>一、财政拨款收支预算总体情况</w:t>
      </w:r>
    </w:p>
    <w:p>
      <w:pPr>
        <w:snapToGrid w:val="0"/>
        <w:spacing w:line="600" w:lineRule="exact"/>
        <w:ind w:right="24" w:firstLine="560" w:firstLineChars="200"/>
        <w:rPr>
          <w:rFonts w:ascii="宋体" w:hAnsi="宋体"/>
          <w:sz w:val="28"/>
          <w:szCs w:val="28"/>
        </w:rPr>
      </w:pPr>
      <w:r>
        <w:rPr>
          <w:rFonts w:hint="eastAsia" w:ascii="宋体" w:hAnsi="宋体"/>
          <w:sz w:val="28"/>
          <w:szCs w:val="28"/>
        </w:rPr>
        <w:t>二、一般公共预算支出安排情况</w:t>
      </w:r>
    </w:p>
    <w:p>
      <w:pPr>
        <w:snapToGrid w:val="0"/>
        <w:spacing w:line="600" w:lineRule="exact"/>
        <w:ind w:right="24" w:firstLine="560" w:firstLineChars="200"/>
        <w:rPr>
          <w:rFonts w:ascii="宋体" w:hAnsi="宋体"/>
          <w:sz w:val="28"/>
          <w:szCs w:val="28"/>
        </w:rPr>
      </w:pPr>
      <w:r>
        <w:rPr>
          <w:rFonts w:hint="eastAsia" w:ascii="宋体" w:hAnsi="宋体"/>
          <w:sz w:val="28"/>
          <w:szCs w:val="28"/>
        </w:rPr>
        <w:t>三、一般公共预算基本支出安排情况</w:t>
      </w:r>
    </w:p>
    <w:p>
      <w:pPr>
        <w:snapToGrid w:val="0"/>
        <w:spacing w:line="600" w:lineRule="exact"/>
        <w:ind w:right="24" w:firstLine="560" w:firstLineChars="200"/>
        <w:rPr>
          <w:rFonts w:ascii="宋体" w:hAnsi="宋体"/>
          <w:sz w:val="28"/>
          <w:szCs w:val="28"/>
        </w:rPr>
      </w:pPr>
      <w:r>
        <w:rPr>
          <w:rFonts w:hint="eastAsia" w:ascii="宋体" w:hAnsi="宋体"/>
          <w:sz w:val="28"/>
          <w:szCs w:val="28"/>
        </w:rPr>
        <w:t>四、一般公共预算“三公”经费支出安排情况</w:t>
      </w:r>
    </w:p>
    <w:p>
      <w:pPr>
        <w:snapToGrid w:val="0"/>
        <w:spacing w:line="600" w:lineRule="exact"/>
        <w:ind w:right="24" w:firstLine="560" w:firstLineChars="200"/>
        <w:rPr>
          <w:rFonts w:ascii="宋体" w:hAnsi="宋体"/>
          <w:sz w:val="28"/>
          <w:szCs w:val="28"/>
        </w:rPr>
      </w:pPr>
      <w:r>
        <w:rPr>
          <w:rFonts w:hint="eastAsia" w:ascii="宋体" w:hAnsi="宋体"/>
          <w:sz w:val="28"/>
          <w:szCs w:val="28"/>
        </w:rPr>
        <w:t>五、政府性基金预算支出安排情况</w:t>
      </w:r>
    </w:p>
    <w:p>
      <w:pPr>
        <w:snapToGrid w:val="0"/>
        <w:spacing w:line="600" w:lineRule="exact"/>
        <w:ind w:right="24" w:firstLine="560" w:firstLineChars="200"/>
        <w:rPr>
          <w:rFonts w:ascii="宋体" w:hAnsi="宋体"/>
          <w:sz w:val="28"/>
          <w:szCs w:val="28"/>
        </w:rPr>
      </w:pPr>
      <w:r>
        <w:rPr>
          <w:rFonts w:hint="eastAsia" w:ascii="宋体" w:hAnsi="宋体"/>
          <w:sz w:val="28"/>
          <w:szCs w:val="28"/>
        </w:rPr>
        <w:t>六、部门收支预算总体安排情况</w:t>
      </w:r>
    </w:p>
    <w:p>
      <w:pPr>
        <w:snapToGrid w:val="0"/>
        <w:spacing w:line="600" w:lineRule="exact"/>
        <w:ind w:right="24" w:firstLine="560" w:firstLineChars="200"/>
        <w:rPr>
          <w:rFonts w:ascii="宋体" w:hAnsi="宋体"/>
          <w:sz w:val="28"/>
          <w:szCs w:val="28"/>
        </w:rPr>
      </w:pPr>
      <w:r>
        <w:rPr>
          <w:rFonts w:hint="eastAsia" w:ascii="宋体" w:hAnsi="宋体"/>
          <w:sz w:val="28"/>
          <w:szCs w:val="28"/>
        </w:rPr>
        <w:t>七、其他重要事项的情况说明</w:t>
      </w:r>
    </w:p>
    <w:p>
      <w:pPr>
        <w:snapToGrid w:val="0"/>
        <w:spacing w:line="600" w:lineRule="exact"/>
        <w:ind w:right="24" w:firstLine="560" w:firstLineChars="200"/>
        <w:rPr>
          <w:rFonts w:ascii="宋体" w:hAnsi="宋体"/>
          <w:sz w:val="28"/>
          <w:szCs w:val="28"/>
        </w:rPr>
      </w:pPr>
      <w:r>
        <w:rPr>
          <w:rFonts w:hint="eastAsia" w:ascii="宋体" w:hAnsi="宋体"/>
          <w:sz w:val="28"/>
          <w:szCs w:val="28"/>
        </w:rPr>
        <w:t>第四部分  名词解释</w:t>
      </w: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bCs/>
          <w:sz w:val="28"/>
          <w:szCs w:val="28"/>
        </w:rPr>
      </w:pPr>
      <w:r>
        <w:rPr>
          <w:rFonts w:ascii="宋体" w:hAnsi="宋体"/>
          <w:sz w:val="28"/>
          <w:szCs w:val="28"/>
        </w:rPr>
        <w:br w:type="page"/>
      </w:r>
      <w:r>
        <w:rPr>
          <w:rFonts w:hint="eastAsia" w:ascii="宋体" w:hAnsi="宋体"/>
          <w:sz w:val="28"/>
          <w:szCs w:val="28"/>
        </w:rPr>
        <w:t xml:space="preserve">第一部分 </w:t>
      </w:r>
      <w:r>
        <w:rPr>
          <w:rFonts w:hint="eastAsia" w:ascii="宋体" w:hAnsi="宋体"/>
          <w:bCs/>
          <w:sz w:val="28"/>
          <w:szCs w:val="28"/>
        </w:rPr>
        <w:t>滠口街道办事处(本级)概况</w:t>
      </w:r>
    </w:p>
    <w:p>
      <w:pPr>
        <w:snapToGrid w:val="0"/>
        <w:spacing w:line="600" w:lineRule="exact"/>
        <w:ind w:right="24"/>
        <w:jc w:val="center"/>
        <w:rPr>
          <w:rFonts w:ascii="宋体" w:hAnsi="宋体"/>
          <w:bCs/>
          <w:sz w:val="28"/>
          <w:szCs w:val="28"/>
        </w:rPr>
      </w:pPr>
    </w:p>
    <w:p>
      <w:pPr>
        <w:snapToGrid w:val="0"/>
        <w:spacing w:line="600" w:lineRule="exact"/>
        <w:ind w:right="24" w:firstLine="560" w:firstLineChars="200"/>
        <w:rPr>
          <w:rFonts w:ascii="宋体" w:hAnsi="宋体"/>
          <w:bCs/>
          <w:sz w:val="28"/>
          <w:szCs w:val="28"/>
        </w:rPr>
      </w:pPr>
      <w:r>
        <w:rPr>
          <w:rFonts w:hint="eastAsia" w:ascii="宋体" w:hAnsi="宋体"/>
          <w:bCs/>
          <w:sz w:val="28"/>
          <w:szCs w:val="28"/>
        </w:rPr>
        <w:t>一、部门主要职能</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1、街道党工委和人大工委、政协联络委分别按照《</w:t>
      </w:r>
      <w:r>
        <w:rPr>
          <w:rFonts w:hint="eastAsia" w:ascii="宋体" w:hAnsi="宋体"/>
          <w:color w:val="000000"/>
          <w:sz w:val="28"/>
          <w:szCs w:val="28"/>
          <w:lang w:eastAsia="zh-CN"/>
        </w:rPr>
        <w:t>中国共产党章程</w:t>
      </w:r>
      <w:r>
        <w:rPr>
          <w:rFonts w:hint="eastAsia" w:ascii="宋体" w:hAnsi="宋体"/>
          <w:color w:val="000000"/>
          <w:sz w:val="28"/>
          <w:szCs w:val="28"/>
        </w:rPr>
        <w:t>》、《中华人民共和国宪法》、《地方组织法》和《政协章程》的规定履行各自职能。</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2、街道办事处的主要职能是：认真贯彻落实党和国家的路线、方针、政策，严格依法行政，加强市场监管，发展经济、文化和社会事业，提供公共服务和社会保障，维护社会稳定。</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3、街道纪工委（监察室）按照《</w:t>
      </w:r>
      <w:r>
        <w:rPr>
          <w:rFonts w:hint="eastAsia" w:ascii="宋体" w:hAnsi="宋体"/>
          <w:color w:val="000000"/>
          <w:sz w:val="28"/>
          <w:szCs w:val="28"/>
          <w:lang w:eastAsia="zh-CN"/>
        </w:rPr>
        <w:t>中国共产党章程</w:t>
      </w:r>
      <w:r>
        <w:rPr>
          <w:rFonts w:hint="eastAsia" w:ascii="宋体" w:hAnsi="宋体"/>
          <w:color w:val="000000"/>
          <w:sz w:val="28"/>
          <w:szCs w:val="28"/>
        </w:rPr>
        <w:t>》和《中华人民共和国监察法》履行职责。</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4、街道人民武装依法履行国防动员、民兵训练、预备役管理等职能。</w:t>
      </w:r>
    </w:p>
    <w:p>
      <w:pPr>
        <w:snapToGrid w:val="0"/>
        <w:spacing w:line="600" w:lineRule="exact"/>
        <w:ind w:right="24" w:firstLine="560" w:firstLineChars="200"/>
        <w:rPr>
          <w:rFonts w:ascii="宋体" w:hAnsi="宋体"/>
          <w:bCs/>
          <w:sz w:val="28"/>
          <w:szCs w:val="28"/>
        </w:rPr>
      </w:pPr>
      <w:r>
        <w:rPr>
          <w:rFonts w:hint="eastAsia" w:ascii="宋体" w:hAnsi="宋体"/>
          <w:bCs/>
          <w:sz w:val="28"/>
          <w:szCs w:val="28"/>
        </w:rPr>
        <w:t>二、部门预算单位构成</w:t>
      </w:r>
    </w:p>
    <w:p>
      <w:pPr>
        <w:snapToGrid w:val="0"/>
        <w:spacing w:line="600" w:lineRule="exact"/>
        <w:ind w:right="23" w:firstLine="560" w:firstLineChars="200"/>
        <w:rPr>
          <w:rFonts w:ascii="宋体" w:hAnsi="宋体"/>
          <w:bCs/>
          <w:sz w:val="28"/>
          <w:szCs w:val="28"/>
        </w:rPr>
      </w:pPr>
      <w:r>
        <w:rPr>
          <w:rFonts w:hint="eastAsia" w:ascii="宋体" w:hAnsi="宋体"/>
          <w:bCs/>
          <w:sz w:val="28"/>
          <w:szCs w:val="28"/>
        </w:rPr>
        <w:t>纳入滠口街道办事处（本级）2021年部门预算编制范围的预算单位：黄陂区人民政府滠口街道办事处。</w:t>
      </w:r>
    </w:p>
    <w:p>
      <w:pPr>
        <w:snapToGrid w:val="0"/>
        <w:spacing w:line="600" w:lineRule="exact"/>
        <w:ind w:right="24" w:firstLine="560" w:firstLineChars="200"/>
        <w:rPr>
          <w:rFonts w:ascii="宋体" w:hAnsi="宋体"/>
          <w:bCs/>
          <w:sz w:val="28"/>
          <w:szCs w:val="28"/>
        </w:rPr>
      </w:pPr>
      <w:r>
        <w:rPr>
          <w:rFonts w:hint="eastAsia" w:ascii="宋体" w:hAnsi="宋体"/>
          <w:bCs/>
          <w:sz w:val="28"/>
          <w:szCs w:val="28"/>
        </w:rPr>
        <w:t>三、部门人员构成</w:t>
      </w:r>
    </w:p>
    <w:p>
      <w:pPr>
        <w:snapToGrid w:val="0"/>
        <w:spacing w:line="600" w:lineRule="exact"/>
        <w:ind w:firstLine="560" w:firstLineChars="200"/>
        <w:rPr>
          <w:rFonts w:ascii="宋体" w:hAnsi="宋体"/>
          <w:bCs/>
          <w:sz w:val="28"/>
          <w:szCs w:val="28"/>
        </w:rPr>
      </w:pPr>
      <w:r>
        <w:rPr>
          <w:rFonts w:hint="eastAsia" w:ascii="宋体" w:hAnsi="宋体"/>
          <w:bCs/>
          <w:sz w:val="28"/>
          <w:szCs w:val="28"/>
        </w:rPr>
        <w:t>滠口街道办事处（本级）行政编制人数</w:t>
      </w:r>
      <w:r>
        <w:rPr>
          <w:rFonts w:hint="eastAsia" w:ascii="宋体" w:hAnsi="宋体"/>
          <w:bCs/>
          <w:kern w:val="44"/>
          <w:sz w:val="28"/>
          <w:szCs w:val="28"/>
          <w:u w:val="single"/>
        </w:rPr>
        <w:t>43</w:t>
      </w:r>
      <w:r>
        <w:rPr>
          <w:rFonts w:hint="eastAsia" w:ascii="宋体" w:hAnsi="宋体"/>
          <w:bCs/>
          <w:sz w:val="28"/>
          <w:szCs w:val="28"/>
        </w:rPr>
        <w:t>人，在职实有人数</w:t>
      </w:r>
      <w:r>
        <w:rPr>
          <w:rFonts w:hint="eastAsia" w:ascii="宋体" w:hAnsi="宋体"/>
          <w:bCs/>
          <w:kern w:val="44"/>
          <w:sz w:val="28"/>
          <w:szCs w:val="28"/>
          <w:u w:val="single"/>
        </w:rPr>
        <w:t>43</w:t>
      </w:r>
      <w:r>
        <w:rPr>
          <w:rFonts w:hint="eastAsia" w:ascii="宋体" w:hAnsi="宋体"/>
          <w:bCs/>
          <w:sz w:val="28"/>
          <w:szCs w:val="28"/>
        </w:rPr>
        <w:t>人.</w:t>
      </w:r>
    </w:p>
    <w:p>
      <w:pPr>
        <w:snapToGrid w:val="0"/>
        <w:spacing w:line="600" w:lineRule="exact"/>
        <w:ind w:right="23" w:firstLine="560" w:firstLineChars="200"/>
        <w:rPr>
          <w:rFonts w:ascii="宋体" w:hAnsi="宋体"/>
          <w:bCs/>
          <w:sz w:val="28"/>
          <w:szCs w:val="28"/>
        </w:rPr>
      </w:pPr>
      <w:r>
        <w:rPr>
          <w:rFonts w:hint="eastAsia" w:ascii="宋体" w:hAnsi="宋体"/>
          <w:bCs/>
          <w:sz w:val="28"/>
          <w:szCs w:val="28"/>
        </w:rPr>
        <w:t>离退休人员</w:t>
      </w:r>
      <w:r>
        <w:rPr>
          <w:rFonts w:hint="eastAsia" w:ascii="宋体" w:hAnsi="宋体"/>
          <w:bCs/>
          <w:kern w:val="44"/>
          <w:sz w:val="28"/>
          <w:szCs w:val="28"/>
          <w:u w:val="single"/>
        </w:rPr>
        <w:t>46</w:t>
      </w:r>
      <w:r>
        <w:rPr>
          <w:rFonts w:hint="eastAsia" w:ascii="宋体" w:hAnsi="宋体"/>
          <w:bCs/>
          <w:sz w:val="28"/>
          <w:szCs w:val="28"/>
        </w:rPr>
        <w:t>人，其中：离休</w:t>
      </w:r>
      <w:r>
        <w:rPr>
          <w:rFonts w:hint="eastAsia" w:ascii="宋体" w:hAnsi="宋体"/>
          <w:bCs/>
          <w:kern w:val="44"/>
          <w:sz w:val="28"/>
          <w:szCs w:val="28"/>
          <w:u w:val="single"/>
        </w:rPr>
        <w:t>1</w:t>
      </w:r>
      <w:r>
        <w:rPr>
          <w:rFonts w:hint="eastAsia" w:ascii="宋体" w:hAnsi="宋体"/>
          <w:bCs/>
          <w:sz w:val="28"/>
          <w:szCs w:val="28"/>
        </w:rPr>
        <w:t>人，退休</w:t>
      </w:r>
      <w:r>
        <w:rPr>
          <w:rFonts w:hint="eastAsia" w:ascii="宋体" w:hAnsi="宋体"/>
          <w:bCs/>
          <w:kern w:val="44"/>
          <w:sz w:val="28"/>
          <w:szCs w:val="28"/>
          <w:u w:val="single"/>
        </w:rPr>
        <w:t>45</w:t>
      </w:r>
      <w:r>
        <w:rPr>
          <w:rFonts w:hint="eastAsia" w:ascii="宋体" w:hAnsi="宋体"/>
          <w:bCs/>
          <w:sz w:val="28"/>
          <w:szCs w:val="28"/>
        </w:rPr>
        <w:t>人。</w:t>
      </w:r>
    </w:p>
    <w:p>
      <w:pPr>
        <w:snapToGrid w:val="0"/>
        <w:spacing w:line="600" w:lineRule="exact"/>
        <w:ind w:right="23"/>
        <w:rPr>
          <w:rFonts w:ascii="宋体" w:hAnsi="宋体"/>
          <w:bCs/>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bCs/>
          <w:sz w:val="28"/>
          <w:szCs w:val="28"/>
        </w:rPr>
      </w:pPr>
      <w:r>
        <w:rPr>
          <w:rFonts w:hint="eastAsia" w:ascii="宋体" w:hAnsi="宋体"/>
          <w:sz w:val="28"/>
          <w:szCs w:val="28"/>
        </w:rPr>
        <w:t xml:space="preserve">第二部分 </w:t>
      </w:r>
      <w:r>
        <w:rPr>
          <w:rFonts w:hint="eastAsia" w:ascii="宋体" w:hAnsi="宋体"/>
          <w:bCs/>
          <w:sz w:val="28"/>
          <w:szCs w:val="28"/>
        </w:rPr>
        <w:t>滠口街道办事处（本级）2021年部门预算表</w:t>
      </w:r>
    </w:p>
    <w:p>
      <w:pPr>
        <w:snapToGrid w:val="0"/>
        <w:spacing w:line="600" w:lineRule="exact"/>
        <w:ind w:right="24"/>
        <w:jc w:val="center"/>
        <w:rPr>
          <w:rFonts w:ascii="宋体" w:hAnsi="宋体"/>
          <w:bCs/>
          <w:sz w:val="28"/>
          <w:szCs w:val="28"/>
        </w:rPr>
      </w:pPr>
    </w:p>
    <w:p/>
    <w:p/>
    <w:p/>
    <w:p/>
    <w:p/>
    <w:p>
      <w:r>
        <w:drawing>
          <wp:inline distT="0" distB="0" distL="0" distR="0">
            <wp:extent cx="5274310" cy="3081655"/>
            <wp:effectExtent l="19050" t="0" r="2540" b="0"/>
            <wp:docPr id="1"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1"/>
                    </pic:cNvPicPr>
                  </pic:nvPicPr>
                  <pic:blipFill>
                    <a:blip r:embed="rId4" cstate="print"/>
                    <a:stretch>
                      <a:fillRect/>
                    </a:stretch>
                  </pic:blipFill>
                  <pic:spPr>
                    <a:xfrm>
                      <a:off x="0" y="0"/>
                      <a:ext cx="5274310" cy="3081655"/>
                    </a:xfrm>
                    <a:prstGeom prst="rect">
                      <a:avLst/>
                    </a:prstGeom>
                  </pic:spPr>
                </pic:pic>
              </a:graphicData>
            </a:graphic>
          </wp:inline>
        </w:drawing>
      </w:r>
    </w:p>
    <w:p/>
    <w:p/>
    <w:p/>
    <w:p/>
    <w:p/>
    <w:p/>
    <w:p/>
    <w:p/>
    <w:p/>
    <w:p/>
    <w:p/>
    <w:p/>
    <w:p/>
    <w:p/>
    <w:p/>
    <w:p/>
    <w:p/>
    <w:p/>
    <w:p/>
    <w:p/>
    <w:p>
      <w:r>
        <w:drawing>
          <wp:inline distT="0" distB="0" distL="0" distR="0">
            <wp:extent cx="5274310" cy="8263255"/>
            <wp:effectExtent l="19050" t="0" r="2540" b="0"/>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png"/>
                    <pic:cNvPicPr>
                      <a:picLocks noChangeAspect="1"/>
                    </pic:cNvPicPr>
                  </pic:nvPicPr>
                  <pic:blipFill>
                    <a:blip r:embed="rId5" cstate="print"/>
                    <a:stretch>
                      <a:fillRect/>
                    </a:stretch>
                  </pic:blipFill>
                  <pic:spPr>
                    <a:xfrm>
                      <a:off x="0" y="0"/>
                      <a:ext cx="5274310" cy="8263255"/>
                    </a:xfrm>
                    <a:prstGeom prst="rect">
                      <a:avLst/>
                    </a:prstGeom>
                  </pic:spPr>
                </pic:pic>
              </a:graphicData>
            </a:graphic>
          </wp:inline>
        </w:drawing>
      </w:r>
    </w:p>
    <w:p>
      <w:r>
        <w:drawing>
          <wp:inline distT="0" distB="0" distL="0" distR="0">
            <wp:extent cx="5154930" cy="8863330"/>
            <wp:effectExtent l="19050" t="0" r="7620" b="0"/>
            <wp:docPr id="4"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png"/>
                    <pic:cNvPicPr>
                      <a:picLocks noChangeAspect="1"/>
                    </pic:cNvPicPr>
                  </pic:nvPicPr>
                  <pic:blipFill>
                    <a:blip r:embed="rId6" cstate="print"/>
                    <a:stretch>
                      <a:fillRect/>
                    </a:stretch>
                  </pic:blipFill>
                  <pic:spPr>
                    <a:xfrm>
                      <a:off x="0" y="0"/>
                      <a:ext cx="5154930" cy="8863330"/>
                    </a:xfrm>
                    <a:prstGeom prst="rect">
                      <a:avLst/>
                    </a:prstGeom>
                  </pic:spPr>
                </pic:pic>
              </a:graphicData>
            </a:graphic>
          </wp:inline>
        </w:drawing>
      </w:r>
    </w:p>
    <w:p>
      <w:r>
        <w:drawing>
          <wp:inline distT="0" distB="0" distL="0" distR="0">
            <wp:extent cx="5274310" cy="1975485"/>
            <wp:effectExtent l="19050" t="0" r="2540" b="0"/>
            <wp:docPr id="5"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png"/>
                    <pic:cNvPicPr>
                      <a:picLocks noChangeAspect="1"/>
                    </pic:cNvPicPr>
                  </pic:nvPicPr>
                  <pic:blipFill>
                    <a:blip r:embed="rId7" cstate="print"/>
                    <a:stretch>
                      <a:fillRect/>
                    </a:stretch>
                  </pic:blipFill>
                  <pic:spPr>
                    <a:xfrm>
                      <a:off x="0" y="0"/>
                      <a:ext cx="5274310" cy="1975485"/>
                    </a:xfrm>
                    <a:prstGeom prst="rect">
                      <a:avLst/>
                    </a:prstGeom>
                  </pic:spPr>
                </pic:pic>
              </a:graphicData>
            </a:graphic>
          </wp:inline>
        </w:drawing>
      </w:r>
    </w:p>
    <w:p/>
    <w:p/>
    <w:p/>
    <w:p/>
    <w:p/>
    <w:p/>
    <w:p/>
    <w:p/>
    <w:p/>
    <w:p/>
    <w:p/>
    <w:p/>
    <w:p>
      <w:r>
        <w:rPr>
          <w:rFonts w:hint="eastAsia"/>
        </w:rPr>
        <w:drawing>
          <wp:inline distT="0" distB="0" distL="0" distR="0">
            <wp:extent cx="5274310" cy="1187450"/>
            <wp:effectExtent l="19050" t="0" r="2540" b="0"/>
            <wp:docPr id="19" name="图片 18"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5.png"/>
                    <pic:cNvPicPr>
                      <a:picLocks noChangeAspect="1"/>
                    </pic:cNvPicPr>
                  </pic:nvPicPr>
                  <pic:blipFill>
                    <a:blip r:embed="rId8" cstate="print"/>
                    <a:stretch>
                      <a:fillRect/>
                    </a:stretch>
                  </pic:blipFill>
                  <pic:spPr>
                    <a:xfrm>
                      <a:off x="0" y="0"/>
                      <a:ext cx="5274310" cy="1187450"/>
                    </a:xfrm>
                    <a:prstGeom prst="rect">
                      <a:avLst/>
                    </a:prstGeom>
                  </pic:spPr>
                </pic:pic>
              </a:graphicData>
            </a:graphic>
          </wp:inline>
        </w:drawing>
      </w:r>
    </w:p>
    <w:p/>
    <w:p/>
    <w:p/>
    <w:p/>
    <w:p/>
    <w:p/>
    <w:p/>
    <w:p/>
    <w:p/>
    <w:p/>
    <w:p/>
    <w:p/>
    <w:p/>
    <w:p/>
    <w:p/>
    <w:p/>
    <w:p/>
    <w:p/>
    <w:p>
      <w:r>
        <w:drawing>
          <wp:inline distT="0" distB="0" distL="0" distR="0">
            <wp:extent cx="5274310" cy="4058920"/>
            <wp:effectExtent l="19050" t="0" r="2540" b="0"/>
            <wp:docPr id="7" name="图片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6.png"/>
                    <pic:cNvPicPr>
                      <a:picLocks noChangeAspect="1"/>
                    </pic:cNvPicPr>
                  </pic:nvPicPr>
                  <pic:blipFill>
                    <a:blip r:embed="rId9" cstate="print"/>
                    <a:stretch>
                      <a:fillRect/>
                    </a:stretch>
                  </pic:blipFill>
                  <pic:spPr>
                    <a:xfrm>
                      <a:off x="0" y="0"/>
                      <a:ext cx="5274310" cy="4058920"/>
                    </a:xfrm>
                    <a:prstGeom prst="rect">
                      <a:avLst/>
                    </a:prstGeom>
                  </pic:spPr>
                </pic:pic>
              </a:graphicData>
            </a:graphic>
          </wp:inline>
        </w:drawing>
      </w:r>
    </w:p>
    <w:p/>
    <w:p/>
    <w:p/>
    <w:p/>
    <w:p/>
    <w:p/>
    <w:p/>
    <w:p/>
    <w:p/>
    <w:p/>
    <w:p/>
    <w:p/>
    <w:p/>
    <w:p/>
    <w:p/>
    <w:p/>
    <w:p/>
    <w:p/>
    <w:p/>
    <w:p/>
    <w:p/>
    <w:p/>
    <w:p/>
    <w:p>
      <w:r>
        <w:drawing>
          <wp:inline distT="0" distB="0" distL="0" distR="0">
            <wp:extent cx="5274310" cy="7023100"/>
            <wp:effectExtent l="19050" t="0" r="2540" b="0"/>
            <wp:docPr id="8" name="图片 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7.png"/>
                    <pic:cNvPicPr>
                      <a:picLocks noChangeAspect="1"/>
                    </pic:cNvPicPr>
                  </pic:nvPicPr>
                  <pic:blipFill>
                    <a:blip r:embed="rId10" cstate="print"/>
                    <a:stretch>
                      <a:fillRect/>
                    </a:stretch>
                  </pic:blipFill>
                  <pic:spPr>
                    <a:xfrm>
                      <a:off x="0" y="0"/>
                      <a:ext cx="5274310" cy="7023100"/>
                    </a:xfrm>
                    <a:prstGeom prst="rect">
                      <a:avLst/>
                    </a:prstGeom>
                  </pic:spPr>
                </pic:pic>
              </a:graphicData>
            </a:graphic>
          </wp:inline>
        </w:drawing>
      </w:r>
    </w:p>
    <w:p/>
    <w:p>
      <w:r>
        <w:drawing>
          <wp:inline distT="0" distB="0" distL="0" distR="0">
            <wp:extent cx="5274310" cy="6692900"/>
            <wp:effectExtent l="19050" t="0" r="2540" b="0"/>
            <wp:docPr id="12" name="图片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8.png"/>
                    <pic:cNvPicPr>
                      <a:picLocks noChangeAspect="1"/>
                    </pic:cNvPicPr>
                  </pic:nvPicPr>
                  <pic:blipFill>
                    <a:blip r:embed="rId11" cstate="print"/>
                    <a:stretch>
                      <a:fillRect/>
                    </a:stretch>
                  </pic:blipFill>
                  <pic:spPr>
                    <a:xfrm>
                      <a:off x="0" y="0"/>
                      <a:ext cx="5274310" cy="6692900"/>
                    </a:xfrm>
                    <a:prstGeom prst="rect">
                      <a:avLst/>
                    </a:prstGeom>
                  </pic:spPr>
                </pic:pic>
              </a:graphicData>
            </a:graphic>
          </wp:inline>
        </w:drawing>
      </w:r>
    </w:p>
    <w:p/>
    <w:p>
      <w:pPr>
        <w:snapToGrid w:val="0"/>
        <w:spacing w:line="600" w:lineRule="exact"/>
        <w:ind w:right="24"/>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p>
    <w:p>
      <w:pPr>
        <w:snapToGrid w:val="0"/>
        <w:spacing w:line="600" w:lineRule="exact"/>
        <w:ind w:right="24"/>
        <w:jc w:val="center"/>
        <w:rPr>
          <w:rFonts w:ascii="宋体" w:hAnsi="宋体"/>
          <w:sz w:val="28"/>
          <w:szCs w:val="28"/>
        </w:rPr>
      </w:pPr>
      <w:r>
        <w:rPr>
          <w:rFonts w:hint="eastAsia" w:ascii="宋体" w:hAnsi="宋体"/>
          <w:sz w:val="28"/>
          <w:szCs w:val="28"/>
        </w:rPr>
        <w:t>第三部分</w:t>
      </w:r>
      <w:r>
        <w:rPr>
          <w:rFonts w:hint="eastAsia" w:ascii="宋体" w:hAnsi="宋体"/>
          <w:bCs/>
          <w:sz w:val="28"/>
          <w:szCs w:val="28"/>
        </w:rPr>
        <w:t>滠口街道办事处（本级）</w:t>
      </w:r>
      <w:r>
        <w:rPr>
          <w:rFonts w:hint="eastAsia" w:ascii="宋体" w:hAnsi="宋体"/>
          <w:sz w:val="28"/>
          <w:szCs w:val="28"/>
        </w:rPr>
        <w:t>2021年部门预算情况说明</w:t>
      </w:r>
    </w:p>
    <w:p>
      <w:pPr>
        <w:pStyle w:val="2"/>
        <w:snapToGrid w:val="0"/>
        <w:spacing w:line="600" w:lineRule="exact"/>
        <w:rPr>
          <w:rFonts w:ascii="宋体" w:hAnsi="宋体" w:eastAsia="宋体"/>
          <w:sz w:val="28"/>
          <w:szCs w:val="28"/>
        </w:rPr>
      </w:pPr>
    </w:p>
    <w:p>
      <w:pPr>
        <w:snapToGrid w:val="0"/>
        <w:spacing w:line="600" w:lineRule="exact"/>
        <w:ind w:right="24" w:firstLine="560" w:firstLineChars="200"/>
        <w:rPr>
          <w:rFonts w:ascii="宋体" w:hAnsi="宋体"/>
          <w:sz w:val="28"/>
          <w:szCs w:val="28"/>
        </w:rPr>
      </w:pPr>
      <w:r>
        <w:rPr>
          <w:rFonts w:hint="eastAsia" w:ascii="宋体" w:hAnsi="宋体"/>
          <w:sz w:val="28"/>
          <w:szCs w:val="28"/>
        </w:rPr>
        <w:t>一、财政拨款收支预算总体情况</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2021年财政拨款收支总预算</w:t>
      </w:r>
      <w:r>
        <w:rPr>
          <w:rFonts w:hint="eastAsia" w:ascii="宋体" w:hAnsi="宋体"/>
          <w:sz w:val="28"/>
          <w:szCs w:val="28"/>
          <w:u w:val="single"/>
        </w:rPr>
        <w:t>13125</w:t>
      </w:r>
      <w:r>
        <w:rPr>
          <w:rFonts w:hint="eastAsia" w:ascii="宋体" w:hAnsi="宋体"/>
          <w:bCs/>
          <w:kern w:val="44"/>
          <w:sz w:val="28"/>
          <w:szCs w:val="28"/>
        </w:rPr>
        <w:t>万元。收入包括：一般公共预算财政拨款本年收入</w:t>
      </w:r>
      <w:r>
        <w:rPr>
          <w:rFonts w:hint="eastAsia" w:ascii="宋体" w:hAnsi="宋体"/>
          <w:bCs/>
          <w:kern w:val="44"/>
          <w:sz w:val="28"/>
          <w:szCs w:val="28"/>
          <w:u w:val="single"/>
        </w:rPr>
        <w:t>13125</w:t>
      </w:r>
      <w:r>
        <w:rPr>
          <w:rFonts w:hint="eastAsia" w:ascii="宋体" w:hAnsi="宋体"/>
          <w:bCs/>
          <w:kern w:val="44"/>
          <w:sz w:val="28"/>
          <w:szCs w:val="28"/>
        </w:rPr>
        <w:t>万元、上年结转</w:t>
      </w:r>
      <w:r>
        <w:rPr>
          <w:rFonts w:hint="eastAsia" w:ascii="宋体" w:hAnsi="宋体"/>
          <w:bCs/>
          <w:kern w:val="44"/>
          <w:sz w:val="28"/>
          <w:szCs w:val="28"/>
          <w:u w:val="single"/>
        </w:rPr>
        <w:t>0</w:t>
      </w:r>
      <w:r>
        <w:rPr>
          <w:rFonts w:hint="eastAsia" w:ascii="宋体" w:hAnsi="宋体"/>
          <w:bCs/>
          <w:kern w:val="44"/>
          <w:sz w:val="28"/>
          <w:szCs w:val="28"/>
        </w:rPr>
        <w:t>万元；政府性基金预算财政拨款本年收入</w:t>
      </w:r>
      <w:r>
        <w:rPr>
          <w:rFonts w:hint="eastAsia" w:ascii="宋体" w:hAnsi="宋体"/>
          <w:bCs/>
          <w:kern w:val="44"/>
          <w:sz w:val="28"/>
          <w:szCs w:val="28"/>
          <w:u w:val="single"/>
        </w:rPr>
        <w:t>0</w:t>
      </w:r>
      <w:r>
        <w:rPr>
          <w:rFonts w:hint="eastAsia" w:ascii="宋体" w:hAnsi="宋体"/>
          <w:bCs/>
          <w:kern w:val="44"/>
          <w:sz w:val="28"/>
          <w:szCs w:val="28"/>
        </w:rPr>
        <w:t>万元、上年结转</w:t>
      </w:r>
      <w:r>
        <w:rPr>
          <w:rFonts w:hint="eastAsia" w:ascii="宋体" w:hAnsi="宋体"/>
          <w:bCs/>
          <w:kern w:val="44"/>
          <w:sz w:val="28"/>
          <w:szCs w:val="28"/>
          <w:u w:val="single"/>
        </w:rPr>
        <w:t>0</w:t>
      </w:r>
      <w:r>
        <w:rPr>
          <w:rFonts w:hint="eastAsia" w:ascii="宋体" w:hAnsi="宋体"/>
          <w:bCs/>
          <w:kern w:val="44"/>
          <w:sz w:val="28"/>
          <w:szCs w:val="28"/>
        </w:rPr>
        <w:t>万元。支出包括：</w:t>
      </w:r>
      <w:r>
        <w:rPr>
          <w:rFonts w:hint="eastAsia" w:ascii="宋体" w:hAnsi="宋体"/>
          <w:sz w:val="28"/>
          <w:szCs w:val="28"/>
        </w:rPr>
        <w:t>基本支出</w:t>
      </w:r>
      <w:r>
        <w:rPr>
          <w:rFonts w:hint="eastAsia" w:ascii="宋体" w:hAnsi="宋体"/>
          <w:bCs/>
          <w:kern w:val="44"/>
          <w:sz w:val="28"/>
          <w:szCs w:val="28"/>
          <w:u w:val="single"/>
        </w:rPr>
        <w:t>1603</w:t>
      </w:r>
      <w:r>
        <w:rPr>
          <w:rFonts w:hint="eastAsia" w:ascii="宋体" w:hAnsi="宋体"/>
          <w:bCs/>
          <w:kern w:val="44"/>
          <w:sz w:val="28"/>
          <w:szCs w:val="28"/>
        </w:rPr>
        <w:t>万元，项目支出</w:t>
      </w:r>
      <w:r>
        <w:rPr>
          <w:rFonts w:hint="eastAsia" w:ascii="宋体" w:hAnsi="宋体"/>
          <w:bCs/>
          <w:kern w:val="44"/>
          <w:sz w:val="28"/>
          <w:szCs w:val="28"/>
          <w:u w:val="single"/>
        </w:rPr>
        <w:t>11522</w:t>
      </w:r>
      <w:r>
        <w:rPr>
          <w:rFonts w:hint="eastAsia" w:ascii="宋体" w:hAnsi="宋体"/>
          <w:bCs/>
          <w:kern w:val="44"/>
          <w:sz w:val="28"/>
          <w:szCs w:val="28"/>
        </w:rPr>
        <w:t>万元。</w:t>
      </w:r>
    </w:p>
    <w:p>
      <w:pPr>
        <w:snapToGrid w:val="0"/>
        <w:spacing w:line="600" w:lineRule="exact"/>
        <w:ind w:right="24" w:firstLine="560" w:firstLineChars="200"/>
        <w:rPr>
          <w:rFonts w:ascii="宋体" w:hAnsi="宋体"/>
          <w:sz w:val="28"/>
          <w:szCs w:val="28"/>
        </w:rPr>
      </w:pPr>
      <w:r>
        <w:rPr>
          <w:rFonts w:hint="eastAsia" w:ascii="宋体" w:hAnsi="宋体"/>
          <w:sz w:val="28"/>
          <w:szCs w:val="28"/>
        </w:rPr>
        <w:t>二、一般公共预算支出安排情况</w:t>
      </w:r>
    </w:p>
    <w:p>
      <w:pPr>
        <w:snapToGrid w:val="0"/>
        <w:spacing w:line="600" w:lineRule="exact"/>
        <w:ind w:firstLine="560" w:firstLineChars="200"/>
        <w:rPr>
          <w:rFonts w:ascii="宋体" w:hAnsi="宋体"/>
          <w:b/>
          <w:sz w:val="28"/>
          <w:szCs w:val="28"/>
        </w:rPr>
      </w:pPr>
      <w:r>
        <w:rPr>
          <w:rFonts w:hint="eastAsia" w:ascii="宋体" w:hAnsi="宋体"/>
          <w:bCs/>
          <w:kern w:val="44"/>
          <w:sz w:val="28"/>
          <w:szCs w:val="28"/>
        </w:rPr>
        <w:t>2021年一般公共预算支出预算</w:t>
      </w:r>
      <w:r>
        <w:rPr>
          <w:rFonts w:hint="eastAsia" w:ascii="宋体" w:hAnsi="宋体"/>
          <w:bCs/>
          <w:kern w:val="44"/>
          <w:sz w:val="28"/>
          <w:szCs w:val="28"/>
          <w:u w:val="single"/>
        </w:rPr>
        <w:t>13125</w:t>
      </w:r>
      <w:r>
        <w:rPr>
          <w:rFonts w:hint="eastAsia" w:ascii="宋体" w:hAnsi="宋体"/>
          <w:bCs/>
          <w:kern w:val="44"/>
          <w:sz w:val="28"/>
          <w:szCs w:val="28"/>
        </w:rPr>
        <w:t>万元。其中：(1)本年预算</w:t>
      </w:r>
      <w:r>
        <w:rPr>
          <w:rFonts w:hint="eastAsia" w:ascii="宋体" w:hAnsi="宋体"/>
          <w:bCs/>
          <w:kern w:val="44"/>
          <w:sz w:val="28"/>
          <w:szCs w:val="28"/>
          <w:u w:val="single"/>
        </w:rPr>
        <w:t>13125</w:t>
      </w:r>
      <w:r>
        <w:rPr>
          <w:rFonts w:hint="eastAsia" w:ascii="宋体" w:hAnsi="宋体"/>
          <w:bCs/>
          <w:kern w:val="44"/>
          <w:sz w:val="28"/>
          <w:szCs w:val="28"/>
        </w:rPr>
        <w:t>万元，比2020年预算减少</w:t>
      </w:r>
      <w:r>
        <w:rPr>
          <w:rFonts w:hint="eastAsia" w:ascii="宋体" w:hAnsi="宋体"/>
          <w:bCs/>
          <w:kern w:val="44"/>
          <w:sz w:val="28"/>
          <w:szCs w:val="28"/>
          <w:u w:val="single"/>
        </w:rPr>
        <w:t>12821</w:t>
      </w:r>
      <w:r>
        <w:rPr>
          <w:rFonts w:hint="eastAsia" w:ascii="宋体" w:hAnsi="宋体"/>
          <w:bCs/>
          <w:kern w:val="44"/>
          <w:sz w:val="28"/>
          <w:szCs w:val="28"/>
        </w:rPr>
        <w:t>万元，</w:t>
      </w:r>
      <w:r>
        <w:rPr>
          <w:rFonts w:hint="eastAsia" w:ascii="宋体" w:hAnsi="宋体"/>
          <w:sz w:val="28"/>
          <w:szCs w:val="28"/>
        </w:rPr>
        <w:t>减少49%，主要是</w:t>
      </w:r>
      <w:r>
        <w:rPr>
          <w:rFonts w:hint="eastAsia" w:ascii="宋体" w:hAnsi="宋体"/>
          <w:bCs/>
          <w:kern w:val="44"/>
          <w:sz w:val="28"/>
          <w:szCs w:val="28"/>
        </w:rPr>
        <w:t>非税收入安排的支出减少。；(2)上年结转</w:t>
      </w:r>
      <w:r>
        <w:rPr>
          <w:rFonts w:hint="eastAsia" w:ascii="宋体" w:hAnsi="宋体"/>
          <w:bCs/>
          <w:kern w:val="44"/>
          <w:sz w:val="28"/>
          <w:szCs w:val="28"/>
          <w:u w:val="single"/>
        </w:rPr>
        <w:t>0</w:t>
      </w:r>
      <w:r>
        <w:rPr>
          <w:rFonts w:hint="eastAsia" w:ascii="宋体" w:hAnsi="宋体"/>
          <w:bCs/>
          <w:kern w:val="44"/>
          <w:sz w:val="28"/>
          <w:szCs w:val="28"/>
        </w:rPr>
        <w:t>万元。具体安排情况如下：</w:t>
      </w:r>
    </w:p>
    <w:p>
      <w:pPr>
        <w:snapToGrid w:val="0"/>
        <w:spacing w:line="600" w:lineRule="exact"/>
        <w:ind w:firstLine="560" w:firstLineChars="200"/>
        <w:rPr>
          <w:rFonts w:ascii="宋体" w:hAnsi="宋体"/>
          <w:sz w:val="28"/>
          <w:szCs w:val="28"/>
        </w:rPr>
      </w:pPr>
      <w:r>
        <w:rPr>
          <w:rFonts w:hint="eastAsia" w:ascii="宋体" w:hAnsi="宋体"/>
          <w:sz w:val="28"/>
          <w:szCs w:val="28"/>
        </w:rPr>
        <w:t>(一)基本支出</w:t>
      </w:r>
      <w:r>
        <w:rPr>
          <w:rFonts w:hint="eastAsia" w:ascii="宋体" w:hAnsi="宋体"/>
          <w:bCs/>
          <w:kern w:val="44"/>
          <w:sz w:val="28"/>
          <w:szCs w:val="28"/>
          <w:u w:val="single"/>
        </w:rPr>
        <w:t>1603</w:t>
      </w:r>
      <w:r>
        <w:rPr>
          <w:rFonts w:hint="eastAsia" w:ascii="宋体" w:hAnsi="宋体"/>
          <w:bCs/>
          <w:kern w:val="44"/>
          <w:sz w:val="28"/>
          <w:szCs w:val="28"/>
        </w:rPr>
        <w:t>万元，</w:t>
      </w:r>
      <w:r>
        <w:rPr>
          <w:rFonts w:hint="eastAsia" w:ascii="宋体" w:hAnsi="宋体"/>
          <w:sz w:val="28"/>
          <w:szCs w:val="28"/>
        </w:rPr>
        <w:t>主要用于人员经费(工资福利支出、对个人和家庭补助支出)、公用经费(商品和服务支出)。</w:t>
      </w:r>
    </w:p>
    <w:p>
      <w:pPr>
        <w:snapToGrid w:val="0"/>
        <w:spacing w:line="600" w:lineRule="exact"/>
        <w:ind w:firstLine="560" w:firstLineChars="200"/>
        <w:rPr>
          <w:rFonts w:ascii="宋体" w:hAnsi="宋体"/>
          <w:bCs/>
          <w:kern w:val="44"/>
          <w:sz w:val="28"/>
          <w:szCs w:val="28"/>
        </w:rPr>
      </w:pPr>
      <w:r>
        <w:rPr>
          <w:rFonts w:hint="eastAsia" w:ascii="宋体" w:hAnsi="宋体"/>
          <w:sz w:val="28"/>
          <w:szCs w:val="28"/>
        </w:rPr>
        <w:t>(二)项目支出</w:t>
      </w:r>
      <w:r>
        <w:rPr>
          <w:rFonts w:hint="eastAsia" w:ascii="宋体" w:hAnsi="宋体"/>
          <w:sz w:val="28"/>
          <w:szCs w:val="28"/>
          <w:u w:val="single"/>
        </w:rPr>
        <w:t>11522</w:t>
      </w:r>
      <w:r>
        <w:rPr>
          <w:rFonts w:hint="eastAsia" w:ascii="宋体" w:hAnsi="宋体"/>
          <w:sz w:val="28"/>
          <w:szCs w:val="28"/>
        </w:rPr>
        <w:t>万元。其中：</w:t>
      </w:r>
    </w:p>
    <w:p>
      <w:pPr>
        <w:snapToGrid w:val="0"/>
        <w:spacing w:line="600" w:lineRule="exact"/>
        <w:ind w:firstLine="560" w:firstLineChars="200"/>
        <w:rPr>
          <w:rFonts w:ascii="宋体" w:hAnsi="宋体"/>
          <w:bCs/>
          <w:kern w:val="44"/>
          <w:sz w:val="28"/>
          <w:szCs w:val="28"/>
        </w:rPr>
      </w:pPr>
      <w:r>
        <w:rPr>
          <w:rFonts w:hint="eastAsia" w:ascii="宋体" w:hAnsi="宋体"/>
          <w:sz w:val="28"/>
          <w:szCs w:val="28"/>
        </w:rPr>
        <w:t>行政运行84万元，主要用于乡镇运转。</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一般行政管理事务</w:t>
      </w:r>
      <w:r>
        <w:rPr>
          <w:rFonts w:hint="eastAsia" w:ascii="宋体" w:hAnsi="宋体"/>
          <w:bCs/>
          <w:kern w:val="44"/>
          <w:sz w:val="28"/>
          <w:szCs w:val="28"/>
          <w:u w:val="single"/>
        </w:rPr>
        <w:t>143</w:t>
      </w:r>
      <w:r>
        <w:rPr>
          <w:rFonts w:hint="eastAsia" w:ascii="宋体" w:hAnsi="宋体"/>
          <w:bCs/>
          <w:kern w:val="44"/>
          <w:sz w:val="28"/>
          <w:szCs w:val="28"/>
        </w:rPr>
        <w:t>万元，主要用于：便民中心运转经费、乡镇维稳及社区工作经费等</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其他政府办公厅（室）93万元，主要用于：政府后勤人员工资、隐消干部困难补助、人武工作经费等。</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纪检监察事务6万元，主要用于纪委办案经费。</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其他一般公共服务支出13万元，用于离任主职村干部困难补助。</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其他文化支出14万元，主要用于文化体育服务。</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基层政权与社区建设137万元，主要用于社区经费转移支付。</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农村特困人员救助供养31万元，主要用于五保供养。</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其他计划生育事务支出66万元，主要用于计划生育服务项目。</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小城镇基础设施建设10101万元，主要用于南部路网、南湖拆迁、解放大道下延线等项目的推进。</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对村民委员会和党支部的补助255万元，主要用于村办公经费、党建经费、村干部报酬等。</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其他农村综合改革支出483万元，主要用于农业综合服务、社会事务服务、五大中心社保及退休提标等。</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其他自然资源事务支出96万元，主要用于土地资源与村镇建设服务。</w:t>
      </w:r>
    </w:p>
    <w:p>
      <w:pPr>
        <w:snapToGrid w:val="0"/>
        <w:spacing w:line="600" w:lineRule="exact"/>
        <w:ind w:right="24" w:firstLine="560" w:firstLineChars="200"/>
        <w:rPr>
          <w:rFonts w:ascii="宋体" w:hAnsi="宋体"/>
          <w:sz w:val="28"/>
          <w:szCs w:val="28"/>
        </w:rPr>
      </w:pPr>
      <w:r>
        <w:rPr>
          <w:rFonts w:hint="eastAsia" w:ascii="宋体" w:hAnsi="宋体"/>
          <w:sz w:val="28"/>
          <w:szCs w:val="28"/>
        </w:rPr>
        <w:t>三、一般公共预算基本支出安排情况</w:t>
      </w:r>
    </w:p>
    <w:p>
      <w:pPr>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2021年一般公共预算基本支出</w:t>
      </w:r>
      <w:r>
        <w:rPr>
          <w:rFonts w:hint="eastAsia" w:ascii="宋体" w:hAnsi="宋体"/>
          <w:bCs/>
          <w:kern w:val="44"/>
          <w:sz w:val="28"/>
          <w:szCs w:val="28"/>
          <w:u w:val="single"/>
        </w:rPr>
        <w:t>1603</w:t>
      </w:r>
      <w:r>
        <w:rPr>
          <w:rFonts w:hint="eastAsia" w:ascii="宋体" w:hAnsi="宋体"/>
          <w:bCs/>
          <w:kern w:val="44"/>
          <w:sz w:val="28"/>
          <w:szCs w:val="28"/>
        </w:rPr>
        <w:t>万元。其中：</w:t>
      </w:r>
    </w:p>
    <w:p>
      <w:pPr>
        <w:snapToGrid w:val="0"/>
        <w:spacing w:line="600" w:lineRule="exact"/>
        <w:ind w:firstLine="560" w:firstLineChars="200"/>
        <w:rPr>
          <w:rFonts w:ascii="宋体" w:hAnsi="宋体"/>
          <w:sz w:val="28"/>
          <w:szCs w:val="28"/>
        </w:rPr>
      </w:pPr>
      <w:r>
        <w:rPr>
          <w:rFonts w:hint="eastAsia" w:ascii="宋体" w:hAnsi="宋体"/>
          <w:sz w:val="28"/>
          <w:szCs w:val="28"/>
        </w:rPr>
        <w:t>(一)人员经费</w:t>
      </w:r>
      <w:r>
        <w:rPr>
          <w:rFonts w:hint="eastAsia" w:ascii="宋体" w:hAnsi="宋体"/>
          <w:bCs/>
          <w:kern w:val="44"/>
          <w:sz w:val="28"/>
          <w:szCs w:val="28"/>
          <w:u w:val="single"/>
        </w:rPr>
        <w:t>1498</w:t>
      </w:r>
      <w:r>
        <w:rPr>
          <w:rFonts w:hint="eastAsia" w:ascii="宋体" w:hAnsi="宋体"/>
          <w:bCs/>
          <w:kern w:val="44"/>
          <w:sz w:val="28"/>
          <w:szCs w:val="28"/>
        </w:rPr>
        <w:t>万元。包括：</w:t>
      </w:r>
    </w:p>
    <w:p>
      <w:pPr>
        <w:snapToGrid w:val="0"/>
        <w:spacing w:line="600" w:lineRule="exact"/>
        <w:ind w:firstLine="560" w:firstLineChars="200"/>
        <w:rPr>
          <w:rFonts w:ascii="宋体" w:hAnsi="宋体"/>
          <w:bCs/>
          <w:kern w:val="44"/>
          <w:sz w:val="28"/>
          <w:szCs w:val="28"/>
        </w:rPr>
      </w:pPr>
      <w:r>
        <w:rPr>
          <w:rFonts w:hint="eastAsia" w:ascii="宋体" w:hAnsi="宋体"/>
          <w:sz w:val="28"/>
          <w:szCs w:val="28"/>
        </w:rPr>
        <w:t>工资福利支出</w:t>
      </w:r>
      <w:r>
        <w:rPr>
          <w:rFonts w:hint="eastAsia" w:ascii="宋体" w:hAnsi="宋体"/>
          <w:bCs/>
          <w:kern w:val="44"/>
          <w:sz w:val="28"/>
          <w:szCs w:val="28"/>
          <w:u w:val="single"/>
        </w:rPr>
        <w:t>1313</w:t>
      </w:r>
      <w:r>
        <w:rPr>
          <w:rFonts w:hint="eastAsia" w:ascii="宋体" w:hAnsi="宋体"/>
          <w:bCs/>
          <w:kern w:val="44"/>
          <w:sz w:val="28"/>
          <w:szCs w:val="28"/>
        </w:rPr>
        <w:t>万元，主要用于：在职人员基本工资、津贴补贴、奖金、绩效工资、机关事业单位基本养老保险缴费、职业年金缴费、职工基本医疗保险缴费、公务员医疗补助、其他社会保障缴费、住房公积金、医疗费、其他工资福利支出</w:t>
      </w:r>
      <w:r>
        <w:rPr>
          <w:rFonts w:hint="eastAsia" w:ascii="宋体" w:hAnsi="宋体"/>
          <w:sz w:val="28"/>
          <w:szCs w:val="28"/>
        </w:rPr>
        <w:t>等。</w:t>
      </w:r>
    </w:p>
    <w:p>
      <w:pPr>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对个人和家庭的补助</w:t>
      </w:r>
      <w:r>
        <w:rPr>
          <w:rFonts w:hint="eastAsia" w:ascii="宋体" w:hAnsi="宋体"/>
          <w:bCs/>
          <w:kern w:val="44"/>
          <w:sz w:val="28"/>
          <w:szCs w:val="28"/>
          <w:u w:val="single"/>
        </w:rPr>
        <w:t>185</w:t>
      </w:r>
      <w:r>
        <w:rPr>
          <w:rFonts w:hint="eastAsia" w:ascii="宋体" w:hAnsi="宋体"/>
          <w:bCs/>
          <w:kern w:val="44"/>
          <w:sz w:val="28"/>
          <w:szCs w:val="28"/>
        </w:rPr>
        <w:t>万元，主要用于：离休费、退休费、医疗费补助、其他对个人和家庭补助支出等。</w:t>
      </w:r>
    </w:p>
    <w:p>
      <w:pPr>
        <w:snapToGrid w:val="0"/>
        <w:spacing w:line="600" w:lineRule="exact"/>
        <w:ind w:firstLine="560" w:firstLineChars="200"/>
        <w:rPr>
          <w:rFonts w:ascii="宋体" w:hAnsi="宋体"/>
          <w:b/>
          <w:sz w:val="28"/>
          <w:szCs w:val="28"/>
        </w:rPr>
      </w:pPr>
      <w:r>
        <w:rPr>
          <w:rFonts w:hint="eastAsia" w:ascii="宋体" w:hAnsi="宋体"/>
          <w:sz w:val="28"/>
          <w:szCs w:val="28"/>
        </w:rPr>
        <w:t xml:space="preserve"> (二)公用经费</w:t>
      </w:r>
      <w:r>
        <w:rPr>
          <w:rFonts w:hint="eastAsia" w:ascii="宋体" w:hAnsi="宋体"/>
          <w:bCs/>
          <w:kern w:val="44"/>
          <w:sz w:val="28"/>
          <w:szCs w:val="28"/>
          <w:u w:val="single"/>
        </w:rPr>
        <w:t>105</w:t>
      </w:r>
      <w:r>
        <w:rPr>
          <w:rFonts w:hint="eastAsia" w:ascii="宋体" w:hAnsi="宋体"/>
          <w:bCs/>
          <w:kern w:val="44"/>
          <w:sz w:val="28"/>
          <w:szCs w:val="28"/>
        </w:rPr>
        <w:t>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w:t>
      </w:r>
    </w:p>
    <w:p>
      <w:pPr>
        <w:snapToGrid w:val="0"/>
        <w:spacing w:line="600" w:lineRule="exact"/>
        <w:ind w:right="24" w:firstLine="560" w:firstLineChars="200"/>
        <w:rPr>
          <w:rFonts w:ascii="宋体" w:hAnsi="宋体"/>
          <w:sz w:val="28"/>
          <w:szCs w:val="28"/>
        </w:rPr>
      </w:pPr>
      <w:r>
        <w:rPr>
          <w:rFonts w:hint="eastAsia" w:ascii="宋体" w:hAnsi="宋体"/>
          <w:sz w:val="28"/>
          <w:szCs w:val="28"/>
        </w:rPr>
        <w:t>四、一般公共预算“三公”经费支出安排情况</w:t>
      </w:r>
    </w:p>
    <w:p>
      <w:pPr>
        <w:snapToGrid w:val="0"/>
        <w:spacing w:line="600" w:lineRule="exact"/>
        <w:ind w:right="24" w:firstLine="560" w:firstLineChars="200"/>
        <w:rPr>
          <w:rFonts w:ascii="宋体" w:hAnsi="宋体"/>
          <w:bCs/>
          <w:kern w:val="44"/>
          <w:sz w:val="28"/>
          <w:szCs w:val="28"/>
        </w:rPr>
      </w:pPr>
      <w:r>
        <w:rPr>
          <w:rFonts w:hint="eastAsia" w:ascii="宋体" w:hAnsi="宋体"/>
          <w:sz w:val="28"/>
          <w:szCs w:val="28"/>
        </w:rPr>
        <w:t>2021年一般公共预算安排“三公”经费支出预算</w:t>
      </w:r>
      <w:r>
        <w:rPr>
          <w:rFonts w:hint="eastAsia" w:ascii="宋体" w:hAnsi="宋体"/>
          <w:sz w:val="28"/>
          <w:szCs w:val="28"/>
          <w:u w:val="single"/>
        </w:rPr>
        <w:t>43</w:t>
      </w:r>
      <w:r>
        <w:rPr>
          <w:rFonts w:hint="eastAsia" w:ascii="宋体" w:hAnsi="宋体"/>
          <w:sz w:val="28"/>
          <w:szCs w:val="28"/>
        </w:rPr>
        <w:t>万元。其中：(1)因公出国(境)经费</w:t>
      </w:r>
      <w:r>
        <w:rPr>
          <w:rFonts w:hint="eastAsia" w:ascii="宋体" w:hAnsi="宋体"/>
          <w:sz w:val="28"/>
          <w:szCs w:val="28"/>
          <w:u w:val="single"/>
        </w:rPr>
        <w:t>0</w:t>
      </w:r>
      <w:r>
        <w:rPr>
          <w:rFonts w:hint="eastAsia" w:ascii="宋体" w:hAnsi="宋体"/>
          <w:sz w:val="28"/>
          <w:szCs w:val="28"/>
        </w:rPr>
        <w:t>万元；(2)公务用车购置及运行维护费</w:t>
      </w:r>
      <w:r>
        <w:rPr>
          <w:rFonts w:hint="eastAsia" w:ascii="宋体" w:hAnsi="宋体"/>
          <w:sz w:val="28"/>
          <w:szCs w:val="28"/>
          <w:u w:val="single"/>
        </w:rPr>
        <w:t>10</w:t>
      </w:r>
      <w:r>
        <w:rPr>
          <w:rFonts w:hint="eastAsia" w:ascii="宋体" w:hAnsi="宋体"/>
          <w:sz w:val="28"/>
          <w:szCs w:val="28"/>
        </w:rPr>
        <w:t>万元(公务用车购置费</w:t>
      </w:r>
      <w:r>
        <w:rPr>
          <w:rFonts w:hint="eastAsia" w:ascii="宋体" w:hAnsi="宋体"/>
          <w:sz w:val="28"/>
          <w:szCs w:val="28"/>
          <w:u w:val="single"/>
        </w:rPr>
        <w:t>0</w:t>
      </w:r>
      <w:r>
        <w:rPr>
          <w:rFonts w:hint="eastAsia" w:ascii="宋体" w:hAnsi="宋体"/>
          <w:sz w:val="28"/>
          <w:szCs w:val="28"/>
        </w:rPr>
        <w:t>万元，公务用车运行维护费</w:t>
      </w:r>
      <w:r>
        <w:rPr>
          <w:rFonts w:hint="eastAsia" w:ascii="宋体" w:hAnsi="宋体"/>
          <w:sz w:val="28"/>
          <w:szCs w:val="28"/>
          <w:u w:val="single"/>
        </w:rPr>
        <w:t>10</w:t>
      </w:r>
      <w:r>
        <w:rPr>
          <w:rFonts w:hint="eastAsia" w:ascii="宋体" w:hAnsi="宋体"/>
          <w:sz w:val="28"/>
          <w:szCs w:val="28"/>
        </w:rPr>
        <w:t>万元)；(3)公务接待费</w:t>
      </w:r>
      <w:r>
        <w:rPr>
          <w:rFonts w:hint="eastAsia" w:ascii="宋体" w:hAnsi="宋体"/>
          <w:sz w:val="28"/>
          <w:szCs w:val="28"/>
          <w:u w:val="single"/>
        </w:rPr>
        <w:t>33</w:t>
      </w:r>
      <w:r>
        <w:rPr>
          <w:rFonts w:hint="eastAsia" w:ascii="宋体" w:hAnsi="宋体"/>
          <w:sz w:val="28"/>
          <w:szCs w:val="28"/>
        </w:rPr>
        <w:t>万元。2021年“三公”经费预算比2020年有所减少</w:t>
      </w:r>
      <w:r>
        <w:rPr>
          <w:rFonts w:hint="eastAsia" w:ascii="宋体" w:hAnsi="宋体"/>
          <w:bCs/>
          <w:kern w:val="44"/>
          <w:sz w:val="28"/>
          <w:szCs w:val="28"/>
        </w:rPr>
        <w:t>。</w:t>
      </w:r>
    </w:p>
    <w:p>
      <w:pPr>
        <w:snapToGrid w:val="0"/>
        <w:spacing w:line="600" w:lineRule="exact"/>
        <w:ind w:right="24" w:firstLine="560" w:firstLineChars="200"/>
        <w:rPr>
          <w:rFonts w:ascii="宋体" w:hAnsi="宋体"/>
          <w:sz w:val="28"/>
          <w:szCs w:val="28"/>
        </w:rPr>
      </w:pPr>
      <w:r>
        <w:rPr>
          <w:rFonts w:hint="eastAsia" w:ascii="宋体" w:hAnsi="宋体"/>
          <w:sz w:val="28"/>
          <w:szCs w:val="28"/>
        </w:rPr>
        <w:t>五、政府性基金预算支出安排情况</w:t>
      </w:r>
    </w:p>
    <w:p>
      <w:pPr>
        <w:snapToGrid w:val="0"/>
        <w:spacing w:line="600" w:lineRule="exact"/>
        <w:ind w:right="24" w:firstLine="560" w:firstLineChars="200"/>
        <w:rPr>
          <w:rFonts w:ascii="宋体" w:hAnsi="宋体"/>
          <w:sz w:val="28"/>
          <w:szCs w:val="28"/>
        </w:rPr>
      </w:pPr>
      <w:r>
        <w:rPr>
          <w:rFonts w:hint="eastAsia" w:ascii="宋体" w:hAnsi="宋体"/>
          <w:bCs/>
          <w:kern w:val="44"/>
          <w:sz w:val="28"/>
          <w:szCs w:val="28"/>
        </w:rPr>
        <w:t>2021年本部门没有使用政府性基金预算安排的支出。</w:t>
      </w:r>
    </w:p>
    <w:p>
      <w:pPr>
        <w:snapToGrid w:val="0"/>
        <w:spacing w:line="600" w:lineRule="exact"/>
        <w:ind w:right="24" w:firstLine="560" w:firstLineChars="200"/>
        <w:rPr>
          <w:rFonts w:ascii="宋体" w:hAnsi="宋体"/>
          <w:sz w:val="28"/>
          <w:szCs w:val="28"/>
        </w:rPr>
      </w:pPr>
      <w:r>
        <w:rPr>
          <w:rFonts w:hint="eastAsia" w:ascii="宋体" w:hAnsi="宋体"/>
          <w:sz w:val="28"/>
          <w:szCs w:val="28"/>
        </w:rPr>
        <w:t>六、部门收支预算总体安排情况</w:t>
      </w:r>
    </w:p>
    <w:p>
      <w:pPr>
        <w:snapToGrid w:val="0"/>
        <w:spacing w:line="600" w:lineRule="exact"/>
        <w:ind w:firstLine="560" w:firstLineChars="200"/>
        <w:rPr>
          <w:rFonts w:ascii="宋体" w:hAnsi="宋体"/>
          <w:bCs/>
          <w:sz w:val="28"/>
          <w:szCs w:val="28"/>
        </w:rPr>
      </w:pPr>
      <w:r>
        <w:rPr>
          <w:rFonts w:hint="eastAsia" w:ascii="宋体" w:hAnsi="宋体"/>
          <w:bCs/>
          <w:kern w:val="44"/>
          <w:sz w:val="28"/>
          <w:szCs w:val="28"/>
        </w:rPr>
        <w:t>按照综合预算的原则，</w:t>
      </w:r>
      <w:r>
        <w:rPr>
          <w:rFonts w:hint="eastAsia" w:ascii="宋体" w:hAnsi="宋体"/>
          <w:bCs/>
          <w:sz w:val="28"/>
          <w:szCs w:val="28"/>
        </w:rPr>
        <w:t>滠口街道办事处所有收和支出均纳入部门预算管理。</w:t>
      </w:r>
    </w:p>
    <w:p>
      <w:pPr>
        <w:snapToGrid w:val="0"/>
        <w:spacing w:line="600" w:lineRule="exact"/>
        <w:ind w:firstLine="560" w:firstLineChars="200"/>
        <w:rPr>
          <w:rFonts w:ascii="宋体" w:hAnsi="宋体"/>
          <w:bCs/>
          <w:kern w:val="44"/>
          <w:sz w:val="28"/>
          <w:szCs w:val="28"/>
        </w:rPr>
      </w:pPr>
      <w:r>
        <w:rPr>
          <w:rFonts w:hint="eastAsia" w:ascii="宋体" w:hAnsi="宋体"/>
          <w:bCs/>
          <w:sz w:val="28"/>
          <w:szCs w:val="28"/>
        </w:rPr>
        <w:t>收入包括：</w:t>
      </w:r>
      <w:r>
        <w:rPr>
          <w:rFonts w:hint="eastAsia" w:ascii="宋体" w:hAnsi="宋体"/>
          <w:bCs/>
          <w:kern w:val="44"/>
          <w:sz w:val="28"/>
          <w:szCs w:val="28"/>
        </w:rPr>
        <w:t>财政拨款收入(含一般公共预算财政拨款收入、政府性基金预算财政拨</w:t>
      </w:r>
      <w:r>
        <w:rPr>
          <w:rFonts w:hint="eastAsia" w:ascii="宋体" w:hAnsi="宋体"/>
          <w:bCs/>
          <w:kern w:val="44"/>
          <w:sz w:val="28"/>
          <w:szCs w:val="28"/>
          <w:lang w:eastAsia="zh-CN"/>
        </w:rPr>
        <w:t>款</w:t>
      </w:r>
      <w:bookmarkStart w:id="0" w:name="_GoBack"/>
      <w:bookmarkEnd w:id="0"/>
      <w:r>
        <w:rPr>
          <w:rFonts w:hint="eastAsia" w:ascii="宋体" w:hAnsi="宋体"/>
          <w:bCs/>
          <w:kern w:val="44"/>
          <w:sz w:val="28"/>
          <w:szCs w:val="28"/>
        </w:rPr>
        <w:t>收入)、事业收入、上级补助收入、附属单位上缴收入、事业单位经营收入、其他收入、用事业基金弥补收支差额和上年结转。</w:t>
      </w:r>
    </w:p>
    <w:p>
      <w:pPr>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支出包括：</w:t>
      </w:r>
      <w:r>
        <w:rPr>
          <w:rFonts w:hint="eastAsia" w:ascii="宋体" w:hAnsi="宋体"/>
          <w:sz w:val="28"/>
          <w:szCs w:val="28"/>
        </w:rPr>
        <w:t>基本支出</w:t>
      </w:r>
      <w:r>
        <w:rPr>
          <w:rFonts w:hint="eastAsia" w:ascii="宋体" w:hAnsi="宋体"/>
          <w:bCs/>
          <w:kern w:val="44"/>
          <w:sz w:val="28"/>
          <w:szCs w:val="28"/>
        </w:rPr>
        <w:t>、项目支出、上缴上级支出、对附属单位补助支出和事业单位经营支出。</w:t>
      </w:r>
    </w:p>
    <w:p>
      <w:pPr>
        <w:snapToGrid w:val="0"/>
        <w:spacing w:line="600" w:lineRule="exact"/>
        <w:ind w:right="24" w:firstLine="560" w:firstLineChars="200"/>
        <w:rPr>
          <w:rFonts w:ascii="宋体" w:hAnsi="宋体"/>
          <w:sz w:val="28"/>
          <w:szCs w:val="28"/>
        </w:rPr>
      </w:pPr>
      <w:r>
        <w:rPr>
          <w:rFonts w:hint="eastAsia" w:ascii="宋体" w:hAnsi="宋体"/>
          <w:bCs/>
          <w:sz w:val="28"/>
          <w:szCs w:val="28"/>
        </w:rPr>
        <w:t>2021年部门收支总预算</w:t>
      </w:r>
      <w:r>
        <w:rPr>
          <w:rFonts w:hint="eastAsia" w:ascii="宋体" w:hAnsi="宋体"/>
          <w:bCs/>
          <w:kern w:val="44"/>
          <w:sz w:val="28"/>
          <w:szCs w:val="28"/>
          <w:u w:val="single"/>
        </w:rPr>
        <w:t>13125</w:t>
      </w:r>
      <w:r>
        <w:rPr>
          <w:rFonts w:hint="eastAsia" w:ascii="宋体" w:hAnsi="宋体"/>
          <w:bCs/>
          <w:sz w:val="28"/>
          <w:szCs w:val="28"/>
        </w:rPr>
        <w:t>万元。</w:t>
      </w:r>
      <w:r>
        <w:rPr>
          <w:rFonts w:hint="eastAsia" w:ascii="宋体" w:hAnsi="宋体"/>
          <w:bCs/>
          <w:kern w:val="44"/>
          <w:sz w:val="28"/>
          <w:szCs w:val="28"/>
        </w:rPr>
        <w:t>比2020年预算减少</w:t>
      </w:r>
      <w:r>
        <w:rPr>
          <w:rFonts w:hint="eastAsia" w:ascii="宋体" w:hAnsi="宋体"/>
          <w:bCs/>
          <w:kern w:val="44"/>
          <w:sz w:val="28"/>
          <w:szCs w:val="28"/>
          <w:u w:val="single"/>
        </w:rPr>
        <w:t>12821</w:t>
      </w:r>
      <w:r>
        <w:rPr>
          <w:rFonts w:hint="eastAsia" w:ascii="宋体" w:hAnsi="宋体"/>
          <w:bCs/>
          <w:kern w:val="44"/>
          <w:sz w:val="28"/>
          <w:szCs w:val="28"/>
        </w:rPr>
        <w:t>万元，</w:t>
      </w:r>
      <w:r>
        <w:rPr>
          <w:rFonts w:hint="eastAsia" w:ascii="宋体" w:hAnsi="宋体"/>
          <w:sz w:val="28"/>
          <w:szCs w:val="28"/>
        </w:rPr>
        <w:t>减少49%，主要是</w:t>
      </w:r>
      <w:r>
        <w:rPr>
          <w:rFonts w:hint="eastAsia" w:ascii="宋体" w:hAnsi="宋体"/>
          <w:bCs/>
          <w:kern w:val="44"/>
          <w:sz w:val="28"/>
          <w:szCs w:val="28"/>
        </w:rPr>
        <w:t>非税收入安排的支出减少。</w:t>
      </w:r>
    </w:p>
    <w:p>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七、部门收入预算安排情况</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sz w:val="28"/>
          <w:szCs w:val="28"/>
        </w:rPr>
        <w:t>2021年部门收入预算</w:t>
      </w:r>
      <w:r>
        <w:rPr>
          <w:rFonts w:hint="eastAsia" w:ascii="宋体" w:hAnsi="宋体"/>
          <w:bCs/>
          <w:kern w:val="44"/>
          <w:sz w:val="28"/>
          <w:szCs w:val="28"/>
          <w:u w:val="single"/>
        </w:rPr>
        <w:t>13125</w:t>
      </w:r>
      <w:r>
        <w:rPr>
          <w:rFonts w:hint="eastAsia" w:ascii="宋体" w:hAnsi="宋体"/>
          <w:bCs/>
          <w:kern w:val="44"/>
          <w:sz w:val="28"/>
          <w:szCs w:val="28"/>
        </w:rPr>
        <w:t>万元，其中：一般公共预算财政拨款收入</w:t>
      </w:r>
      <w:r>
        <w:rPr>
          <w:rFonts w:hint="eastAsia" w:ascii="宋体" w:hAnsi="宋体"/>
          <w:bCs/>
          <w:kern w:val="44"/>
          <w:sz w:val="28"/>
          <w:szCs w:val="28"/>
          <w:u w:val="single"/>
        </w:rPr>
        <w:t>13125</w:t>
      </w:r>
      <w:r>
        <w:rPr>
          <w:rFonts w:hint="eastAsia" w:ascii="宋体" w:hAnsi="宋体"/>
          <w:bCs/>
          <w:kern w:val="44"/>
          <w:sz w:val="28"/>
          <w:szCs w:val="28"/>
        </w:rPr>
        <w:t>万元，占</w:t>
      </w:r>
      <w:r>
        <w:rPr>
          <w:rFonts w:hint="eastAsia" w:ascii="宋体" w:hAnsi="宋体"/>
          <w:bCs/>
          <w:kern w:val="44"/>
          <w:sz w:val="28"/>
          <w:szCs w:val="28"/>
          <w:u w:val="single"/>
        </w:rPr>
        <w:t>100</w:t>
      </w:r>
      <w:r>
        <w:rPr>
          <w:rFonts w:hint="eastAsia" w:ascii="宋体" w:hAnsi="宋体"/>
          <w:bCs/>
          <w:kern w:val="44"/>
          <w:sz w:val="28"/>
          <w:szCs w:val="28"/>
        </w:rPr>
        <w:t>%。</w:t>
      </w:r>
    </w:p>
    <w:p>
      <w:pPr>
        <w:snapToGrid w:val="0"/>
        <w:spacing w:line="600" w:lineRule="exact"/>
        <w:ind w:right="24" w:firstLine="560" w:firstLineChars="200"/>
        <w:rPr>
          <w:rFonts w:ascii="宋体" w:hAnsi="宋体"/>
          <w:sz w:val="28"/>
          <w:szCs w:val="28"/>
        </w:rPr>
      </w:pPr>
      <w:r>
        <w:rPr>
          <w:rFonts w:hint="eastAsia" w:ascii="宋体" w:hAnsi="宋体"/>
          <w:sz w:val="28"/>
          <w:szCs w:val="28"/>
        </w:rPr>
        <w:t>八、部门支出预算安排情况</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sz w:val="28"/>
          <w:szCs w:val="28"/>
        </w:rPr>
        <w:t>2021年部门支出预算</w:t>
      </w:r>
      <w:r>
        <w:rPr>
          <w:rFonts w:hint="eastAsia" w:ascii="宋体" w:hAnsi="宋体"/>
          <w:bCs/>
          <w:kern w:val="44"/>
          <w:sz w:val="28"/>
          <w:szCs w:val="28"/>
          <w:u w:val="single"/>
        </w:rPr>
        <w:t>13125</w:t>
      </w:r>
      <w:r>
        <w:rPr>
          <w:rFonts w:hint="eastAsia" w:ascii="宋体" w:hAnsi="宋体"/>
          <w:bCs/>
          <w:kern w:val="44"/>
          <w:sz w:val="28"/>
          <w:szCs w:val="28"/>
        </w:rPr>
        <w:t>万元，</w:t>
      </w:r>
      <w:r>
        <w:rPr>
          <w:rFonts w:hint="eastAsia" w:ascii="宋体" w:hAnsi="宋体"/>
          <w:sz w:val="28"/>
          <w:szCs w:val="28"/>
        </w:rPr>
        <w:t>其中：基本支出</w:t>
      </w:r>
      <w:r>
        <w:rPr>
          <w:rFonts w:hint="eastAsia" w:ascii="宋体" w:hAnsi="宋体"/>
          <w:bCs/>
          <w:kern w:val="44"/>
          <w:sz w:val="28"/>
          <w:szCs w:val="28"/>
          <w:u w:val="single"/>
        </w:rPr>
        <w:t>1603</w:t>
      </w:r>
      <w:r>
        <w:rPr>
          <w:rFonts w:hint="eastAsia" w:ascii="宋体" w:hAnsi="宋体"/>
          <w:bCs/>
          <w:kern w:val="44"/>
          <w:sz w:val="28"/>
          <w:szCs w:val="28"/>
        </w:rPr>
        <w:t>万元，占1</w:t>
      </w:r>
      <w:r>
        <w:rPr>
          <w:rFonts w:hint="eastAsia" w:ascii="宋体" w:hAnsi="宋体"/>
          <w:bCs/>
          <w:kern w:val="44"/>
          <w:sz w:val="28"/>
          <w:szCs w:val="28"/>
          <w:u w:val="single"/>
        </w:rPr>
        <w:t>2</w:t>
      </w:r>
      <w:r>
        <w:rPr>
          <w:rFonts w:hint="eastAsia" w:ascii="宋体" w:hAnsi="宋体"/>
          <w:bCs/>
          <w:kern w:val="44"/>
          <w:sz w:val="28"/>
          <w:szCs w:val="28"/>
        </w:rPr>
        <w:t>%；项目支出</w:t>
      </w:r>
      <w:r>
        <w:rPr>
          <w:rFonts w:hint="eastAsia" w:ascii="宋体" w:hAnsi="宋体"/>
          <w:sz w:val="28"/>
          <w:szCs w:val="28"/>
          <w:u w:val="single"/>
        </w:rPr>
        <w:t>11522</w:t>
      </w:r>
      <w:r>
        <w:rPr>
          <w:rFonts w:hint="eastAsia" w:ascii="宋体" w:hAnsi="宋体"/>
          <w:bCs/>
          <w:kern w:val="44"/>
          <w:sz w:val="28"/>
          <w:szCs w:val="28"/>
        </w:rPr>
        <w:t>万元，占</w:t>
      </w:r>
      <w:r>
        <w:rPr>
          <w:rFonts w:hint="eastAsia" w:ascii="宋体" w:hAnsi="宋体"/>
          <w:bCs/>
          <w:kern w:val="44"/>
          <w:sz w:val="28"/>
          <w:szCs w:val="28"/>
          <w:u w:val="single"/>
        </w:rPr>
        <w:t>88</w:t>
      </w:r>
      <w:r>
        <w:rPr>
          <w:rFonts w:hint="eastAsia" w:ascii="宋体" w:hAnsi="宋体"/>
          <w:bCs/>
          <w:kern w:val="44"/>
          <w:sz w:val="28"/>
          <w:szCs w:val="28"/>
        </w:rPr>
        <w:t>%。</w:t>
      </w:r>
    </w:p>
    <w:p>
      <w:pPr>
        <w:snapToGrid w:val="0"/>
        <w:spacing w:line="600" w:lineRule="exact"/>
        <w:ind w:firstLine="560" w:firstLineChars="200"/>
        <w:rPr>
          <w:rFonts w:ascii="宋体" w:hAnsi="宋体"/>
          <w:sz w:val="28"/>
          <w:szCs w:val="28"/>
        </w:rPr>
      </w:pPr>
      <w:r>
        <w:rPr>
          <w:rFonts w:hint="eastAsia" w:ascii="宋体" w:hAnsi="宋体"/>
          <w:sz w:val="28"/>
          <w:szCs w:val="28"/>
        </w:rPr>
        <w:t>九、其他重要事项的情况说明</w:t>
      </w:r>
    </w:p>
    <w:p>
      <w:pPr>
        <w:snapToGrid w:val="0"/>
        <w:spacing w:line="600" w:lineRule="exact"/>
        <w:ind w:firstLine="560" w:firstLineChars="200"/>
        <w:rPr>
          <w:rFonts w:ascii="宋体" w:hAnsi="宋体"/>
          <w:sz w:val="28"/>
          <w:szCs w:val="28"/>
        </w:rPr>
      </w:pPr>
      <w:r>
        <w:rPr>
          <w:rFonts w:hint="eastAsia" w:ascii="宋体" w:hAnsi="宋体"/>
          <w:sz w:val="28"/>
          <w:szCs w:val="28"/>
        </w:rPr>
        <w:t>(一)机关运行经费情况</w:t>
      </w:r>
    </w:p>
    <w:p>
      <w:pPr>
        <w:snapToGrid w:val="0"/>
        <w:spacing w:line="600" w:lineRule="exact"/>
        <w:ind w:firstLine="560" w:firstLineChars="200"/>
        <w:rPr>
          <w:rFonts w:ascii="宋体" w:hAnsi="宋体"/>
          <w:sz w:val="28"/>
          <w:szCs w:val="28"/>
        </w:rPr>
      </w:pPr>
      <w:r>
        <w:rPr>
          <w:rFonts w:hint="eastAsia" w:ascii="宋体" w:hAnsi="宋体"/>
          <w:sz w:val="28"/>
          <w:szCs w:val="28"/>
        </w:rPr>
        <w:t>2021年部门本级机关及下属</w:t>
      </w:r>
      <w:r>
        <w:rPr>
          <w:rFonts w:hint="eastAsia" w:ascii="宋体" w:hAnsi="宋体"/>
          <w:sz w:val="28"/>
          <w:szCs w:val="28"/>
          <w:u w:val="single"/>
        </w:rPr>
        <w:t>1</w:t>
      </w:r>
      <w:r>
        <w:rPr>
          <w:rFonts w:hint="eastAsia" w:ascii="宋体" w:hAnsi="宋体"/>
          <w:sz w:val="28"/>
          <w:szCs w:val="28"/>
        </w:rPr>
        <w:t>家行政单位的机关运行经费</w:t>
      </w:r>
      <w:r>
        <w:rPr>
          <w:rFonts w:hint="eastAsia" w:ascii="宋体" w:hAnsi="宋体"/>
          <w:sz w:val="28"/>
          <w:szCs w:val="28"/>
          <w:u w:val="single"/>
        </w:rPr>
        <w:t>88</w:t>
      </w:r>
      <w:r>
        <w:rPr>
          <w:rFonts w:hint="eastAsia" w:ascii="宋体" w:hAnsi="宋体"/>
          <w:sz w:val="28"/>
          <w:szCs w:val="28"/>
        </w:rPr>
        <w:t>万元。</w:t>
      </w:r>
    </w:p>
    <w:p>
      <w:pPr>
        <w:pStyle w:val="12"/>
        <w:spacing w:line="600" w:lineRule="exact"/>
        <w:ind w:firstLine="420" w:firstLineChars="150"/>
        <w:rPr>
          <w:rFonts w:ascii="宋体" w:hAnsi="宋体" w:eastAsia="宋体"/>
          <w:kern w:val="44"/>
          <w:sz w:val="28"/>
          <w:szCs w:val="28"/>
        </w:rPr>
      </w:pPr>
      <w:r>
        <w:rPr>
          <w:rFonts w:hint="eastAsia" w:ascii="宋体" w:hAnsi="宋体" w:eastAsia="宋体"/>
          <w:sz w:val="28"/>
          <w:szCs w:val="28"/>
        </w:rPr>
        <w:t xml:space="preserve"> (二)</w:t>
      </w:r>
      <w:r>
        <w:rPr>
          <w:rFonts w:hint="eastAsia" w:ascii="宋体" w:hAnsi="宋体" w:eastAsia="宋体"/>
          <w:kern w:val="44"/>
          <w:sz w:val="28"/>
          <w:szCs w:val="28"/>
        </w:rPr>
        <w:t>国有资产占有使用情况</w:t>
      </w:r>
    </w:p>
    <w:p>
      <w:pPr>
        <w:pStyle w:val="12"/>
        <w:spacing w:line="600" w:lineRule="exact"/>
        <w:ind w:firstLine="560" w:firstLineChars="200"/>
        <w:rPr>
          <w:rFonts w:ascii="宋体" w:hAnsi="宋体" w:eastAsia="宋体"/>
          <w:bCs/>
          <w:kern w:val="44"/>
          <w:sz w:val="28"/>
          <w:szCs w:val="28"/>
        </w:rPr>
      </w:pPr>
      <w:r>
        <w:rPr>
          <w:rFonts w:hint="eastAsia" w:ascii="宋体" w:hAnsi="宋体" w:eastAsia="宋体"/>
          <w:kern w:val="44"/>
          <w:sz w:val="28"/>
          <w:szCs w:val="28"/>
        </w:rPr>
        <w:t>截至2020年12月31日，部门共有车辆</w:t>
      </w:r>
      <w:r>
        <w:rPr>
          <w:rFonts w:hint="eastAsia" w:ascii="宋体" w:hAnsi="宋体" w:eastAsia="宋体"/>
          <w:bCs/>
          <w:kern w:val="44"/>
          <w:sz w:val="28"/>
          <w:szCs w:val="28"/>
          <w:u w:val="single"/>
        </w:rPr>
        <w:t>2</w:t>
      </w:r>
      <w:r>
        <w:rPr>
          <w:rFonts w:hint="eastAsia" w:ascii="宋体" w:hAnsi="宋体" w:eastAsia="宋体"/>
          <w:bCs/>
          <w:kern w:val="44"/>
          <w:sz w:val="28"/>
          <w:szCs w:val="28"/>
        </w:rPr>
        <w:t>辆。其中：一般公务用车</w:t>
      </w:r>
      <w:r>
        <w:rPr>
          <w:rFonts w:hint="eastAsia" w:ascii="宋体" w:hAnsi="宋体" w:eastAsia="宋体"/>
          <w:bCs/>
          <w:kern w:val="44"/>
          <w:sz w:val="28"/>
          <w:szCs w:val="28"/>
          <w:u w:val="single"/>
        </w:rPr>
        <w:t xml:space="preserve"> 2   </w:t>
      </w:r>
      <w:r>
        <w:rPr>
          <w:rFonts w:hint="eastAsia" w:ascii="宋体" w:hAnsi="宋体" w:eastAsia="宋体"/>
          <w:bCs/>
          <w:kern w:val="44"/>
          <w:sz w:val="28"/>
          <w:szCs w:val="28"/>
        </w:rPr>
        <w:t>辆。</w:t>
      </w:r>
    </w:p>
    <w:p>
      <w:pPr>
        <w:pStyle w:val="12"/>
        <w:spacing w:line="600" w:lineRule="exact"/>
        <w:ind w:firstLine="560" w:firstLineChars="200"/>
        <w:rPr>
          <w:rFonts w:ascii="宋体" w:hAnsi="宋体" w:eastAsia="宋体"/>
          <w:bCs/>
          <w:kern w:val="44"/>
          <w:sz w:val="28"/>
          <w:szCs w:val="28"/>
        </w:rPr>
      </w:pPr>
      <w:r>
        <w:rPr>
          <w:rFonts w:hint="eastAsia" w:ascii="宋体" w:hAnsi="宋体" w:eastAsia="宋体"/>
          <w:bCs/>
          <w:kern w:val="44"/>
          <w:sz w:val="28"/>
          <w:szCs w:val="28"/>
        </w:rPr>
        <w:t>(三)绩效目标设置情况</w:t>
      </w:r>
    </w:p>
    <w:p>
      <w:pPr>
        <w:pStyle w:val="12"/>
        <w:spacing w:line="600" w:lineRule="exact"/>
        <w:ind w:firstLine="560" w:firstLineChars="200"/>
        <w:rPr>
          <w:rFonts w:ascii="宋体" w:hAnsi="宋体" w:eastAsia="宋体"/>
          <w:kern w:val="44"/>
          <w:sz w:val="28"/>
          <w:szCs w:val="28"/>
        </w:rPr>
      </w:pPr>
      <w:r>
        <w:rPr>
          <w:rFonts w:hint="eastAsia" w:ascii="宋体" w:hAnsi="宋体" w:eastAsia="宋体"/>
          <w:kern w:val="44"/>
          <w:sz w:val="28"/>
          <w:szCs w:val="28"/>
        </w:rPr>
        <w:t>2021年部门项目绩效目标实现全覆盖，涉及一般公共预算本年财政拨款</w:t>
      </w:r>
      <w:r>
        <w:rPr>
          <w:rFonts w:hint="eastAsia" w:ascii="宋体" w:hAnsi="宋体"/>
          <w:sz w:val="28"/>
          <w:szCs w:val="28"/>
          <w:u w:val="single"/>
        </w:rPr>
        <w:t>11522</w:t>
      </w:r>
      <w:r>
        <w:rPr>
          <w:rFonts w:hint="eastAsia" w:ascii="宋体" w:hAnsi="宋体" w:eastAsia="宋体"/>
          <w:kern w:val="44"/>
          <w:sz w:val="28"/>
          <w:szCs w:val="28"/>
        </w:rPr>
        <w:t>万元。</w:t>
      </w:r>
    </w:p>
    <w:p>
      <w:pPr>
        <w:adjustRightInd w:val="0"/>
        <w:snapToGrid w:val="0"/>
        <w:spacing w:line="600" w:lineRule="exact"/>
        <w:jc w:val="center"/>
        <w:rPr>
          <w:rFonts w:ascii="宋体" w:hAnsi="宋体"/>
          <w:sz w:val="28"/>
          <w:szCs w:val="28"/>
        </w:rPr>
      </w:pPr>
      <w:r>
        <w:rPr>
          <w:rFonts w:ascii="宋体" w:hAnsi="宋体"/>
          <w:sz w:val="28"/>
          <w:szCs w:val="28"/>
        </w:rPr>
        <w:br w:type="page"/>
      </w:r>
      <w:r>
        <w:rPr>
          <w:rFonts w:hint="eastAsia" w:ascii="宋体" w:hAnsi="宋体"/>
          <w:sz w:val="28"/>
          <w:szCs w:val="28"/>
        </w:rPr>
        <w:t>第四部分  名词解释</w:t>
      </w:r>
    </w:p>
    <w:p>
      <w:pPr>
        <w:adjustRightInd w:val="0"/>
        <w:snapToGrid w:val="0"/>
        <w:spacing w:line="600" w:lineRule="exact"/>
        <w:ind w:firstLine="560" w:firstLineChars="200"/>
        <w:rPr>
          <w:rFonts w:ascii="宋体" w:hAnsi="宋体"/>
          <w:bCs/>
          <w:kern w:val="44"/>
          <w:sz w:val="28"/>
          <w:szCs w:val="28"/>
        </w:rPr>
      </w:pP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(一)一般公共预算财政拨款收入：指区级财政一般公共预算当年拨付的资金。</w:t>
      </w:r>
    </w:p>
    <w:p>
      <w:pPr>
        <w:adjustRightInd w:val="0"/>
        <w:snapToGrid w:val="0"/>
        <w:spacing w:line="600" w:lineRule="exact"/>
        <w:ind w:firstLine="420" w:firstLineChars="150"/>
        <w:rPr>
          <w:rFonts w:ascii="宋体" w:hAnsi="宋体"/>
          <w:bCs/>
          <w:kern w:val="44"/>
          <w:sz w:val="28"/>
          <w:szCs w:val="28"/>
        </w:rPr>
      </w:pPr>
      <w:r>
        <w:rPr>
          <w:rFonts w:hint="eastAsia" w:ascii="宋体" w:hAnsi="宋体"/>
          <w:bCs/>
          <w:kern w:val="44"/>
          <w:sz w:val="28"/>
          <w:szCs w:val="28"/>
        </w:rPr>
        <w:t xml:space="preserve"> (二)基本支出：指为保障机构正常运转、完成日常工作任务而发生的人员支出和公用支出。</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(三)项目支出：指在基本支出之外为完成特定的行政任务和事业发展目标所发生的支出。</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(四)本部门使用的主要支出功能分类科目(项级)：</w:t>
      </w:r>
    </w:p>
    <w:p>
      <w:pPr>
        <w:adjustRightInd w:val="0"/>
        <w:snapToGrid w:val="0"/>
        <w:spacing w:line="600" w:lineRule="exact"/>
        <w:ind w:firstLine="560" w:firstLineChars="200"/>
        <w:rPr>
          <w:rFonts w:ascii="宋体" w:hAnsi="宋体"/>
          <w:sz w:val="28"/>
          <w:szCs w:val="28"/>
        </w:rPr>
      </w:pPr>
      <w:r>
        <w:rPr>
          <w:rFonts w:hint="eastAsia" w:ascii="宋体" w:hAnsi="宋体"/>
          <w:bCs/>
          <w:kern w:val="44"/>
          <w:sz w:val="28"/>
          <w:szCs w:val="28"/>
        </w:rPr>
        <w:t>1.</w:t>
      </w:r>
      <w:r>
        <w:rPr>
          <w:rFonts w:hint="eastAsia" w:ascii="宋体" w:hAnsi="宋体"/>
          <w:sz w:val="28"/>
          <w:szCs w:val="28"/>
        </w:rPr>
        <w:t>一般公共服务(类)政府办公厅（室）及相关机构事务(款)行政运行(项)：反映行政单位（包括实行公务员管理的事业单位）的基本支出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2一般公共服务(类)政府办公厅（室）及相关机构事务(款)一般行政管理事务（项）：反映行政单位（包括实行公务员管理的事业单位）未单独设置项级科目的其他项目支出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3一般公共服务(类)财政事务(款)事业运行（项）：反映事业单位的基本支出，不包括行政单位（包括实行公务员管理的事业单位）后勤服务中心、医务室等附属单位。</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4一般公共服务(类)纪检监察事务(款)其他纪检监察事务（项）：反映其他纪检监察事务方面的支出。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5一般公共服务(类) 其他一般公共服务(款)其他一般公共服务（项）：反应其他的一般公共服务支出。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6文化体育与传媒支出(类) 文化 (款)其他文化支出（项）：反映其他用于文化方面的支出。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7社会保障与就业支出(类) 民政管理事务 (款)基础政权与社区建设（项）：反映村民自治、村务公开等基层政权和社区建设工作的支出。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8社会保障与就业支出(类) 行政事业单位离退休 (款) 归口管理的行政单位离退休（项）：反映施行归口管理的行政单位（包括实行公务员管理的事业单位）开支的离退休经费。</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9社会保障与就业支出(类) 行政事业单位离退休 (款) 事业单位离退休（项）：反映实行归口管理的事业单位开支的离退休经费。</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10社会保障与就业支出(类) 就业补助 (款) 公益性岗位补贴（项）：反映财政对符合条件的就业困难人员在公益性岗位就业给与的岗位补贴支出。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11社会保障与就业支出(类) 抚恤(款) 其他优抚支出（项）：反映其他用于优抚方面的支出。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12卫生健康支出(类) 计划生育事务(款) 其他计划生育事务支出（项）：反映其他用于计划生育事务管理方面的支出。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13城乡社区支出(类) 城乡社区公共设施(款) 小城镇基础设施建设（项）：反映用于小城镇路、气、水、电等基本建设方面的支出。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14农林水支出(类) 农业(款) 事业运行（项）：反映用于农业事业单位基本支出，事业单位设施，系统运行与资产维护等方面的支出。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15农林水支出(类) 农村综合改革(款) 对村民委员会和村党支部的补助（项）：反映各级财政对村民委员会和党支部的补助支出，以及支持建立县级基本财力保障机制安排的村级组织运转奖补资金。</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16农林水支出(类) 农村综合改革(款) 其他农村综合改革支出（项）：反映其他用于农村综合改革方面的支出。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17自然资源海洋气象等支出(类) 自然资源事务(款) 其他资源事务支出（项）：反映其他用于资源事务方面的支出。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18住房保障支出(类) 住房改革支出(款) 住房公积金（项）：反映行政事业单位按人力资源和社会保障部、财政部规定的基本工资和津贴补贴以及规定比例为职工缴纳的住房公积金。</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19住房保障支出(类) 住房改革支出(款) 提租补贴（项）：反映按房改政策规定的标准，行政事业单位向职工（含离退休人员）发放的租金补贴。</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 xml:space="preserve"> (五)“三公”经费：纳入财政一般公共预算管理的“三公”经费，是指区直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spacing w:line="600" w:lineRule="exact"/>
        <w:ind w:firstLine="560" w:firstLineChars="200"/>
        <w:rPr>
          <w:rFonts w:ascii="宋体" w:hAnsi="宋体"/>
          <w:sz w:val="28"/>
          <w:szCs w:val="28"/>
        </w:rPr>
      </w:pPr>
      <w:r>
        <w:rPr>
          <w:rFonts w:hint="eastAsia" w:ascii="宋体" w:hAnsi="宋体"/>
          <w:sz w:val="28"/>
          <w:szCs w:val="28"/>
        </w:rPr>
        <w:t>(六)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
        <w:drawing>
          <wp:inline distT="0" distB="0" distL="0" distR="0">
            <wp:extent cx="4993640" cy="8857615"/>
            <wp:effectExtent l="19050" t="0" r="0" b="0"/>
            <wp:docPr id="9" name="图片 9"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png"/>
                    <pic:cNvPicPr>
                      <a:picLocks noChangeAspect="1" noChangeArrowheads="1"/>
                    </pic:cNvPicPr>
                  </pic:nvPicPr>
                  <pic:blipFill>
                    <a:blip r:embed="rId12" cstate="print"/>
                    <a:srcRect/>
                    <a:stretch>
                      <a:fillRect/>
                    </a:stretch>
                  </pic:blipFill>
                  <pic:spPr>
                    <a:xfrm>
                      <a:off x="0" y="0"/>
                      <a:ext cx="4993640" cy="8857615"/>
                    </a:xfrm>
                    <a:prstGeom prst="rect">
                      <a:avLst/>
                    </a:prstGeom>
                    <a:noFill/>
                    <a:ln w="9525">
                      <a:noFill/>
                      <a:miter lim="800000"/>
                      <a:headEnd/>
                      <a:tailEnd/>
                    </a:ln>
                  </pic:spPr>
                </pic:pic>
              </a:graphicData>
            </a:graphic>
          </wp:inline>
        </w:drawing>
      </w:r>
    </w:p>
    <w:p>
      <w:r>
        <w:drawing>
          <wp:inline distT="0" distB="0" distL="0" distR="0">
            <wp:extent cx="5327650" cy="8865870"/>
            <wp:effectExtent l="19050" t="0" r="6350" b="0"/>
            <wp:docPr id="10" name="图片 1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png"/>
                    <pic:cNvPicPr>
                      <a:picLocks noChangeAspect="1" noChangeArrowheads="1"/>
                    </pic:cNvPicPr>
                  </pic:nvPicPr>
                  <pic:blipFill>
                    <a:blip r:embed="rId13" cstate="print"/>
                    <a:srcRect/>
                    <a:stretch>
                      <a:fillRect/>
                    </a:stretch>
                  </pic:blipFill>
                  <pic:spPr>
                    <a:xfrm>
                      <a:off x="0" y="0"/>
                      <a:ext cx="5327650" cy="8865870"/>
                    </a:xfrm>
                    <a:prstGeom prst="rect">
                      <a:avLst/>
                    </a:prstGeom>
                    <a:noFill/>
                    <a:ln w="9525">
                      <a:noFill/>
                      <a:miter lim="800000"/>
                      <a:headEnd/>
                      <a:tailEnd/>
                    </a:ln>
                  </pic:spPr>
                </pic:pic>
              </a:graphicData>
            </a:graphic>
          </wp:inline>
        </w:drawing>
      </w:r>
    </w:p>
    <w:p>
      <w:r>
        <w:drawing>
          <wp:inline distT="0" distB="0" distL="0" distR="0">
            <wp:extent cx="5104765" cy="8865870"/>
            <wp:effectExtent l="19050" t="0" r="635" b="0"/>
            <wp:docPr id="11" name="图片 11"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png"/>
                    <pic:cNvPicPr>
                      <a:picLocks noChangeAspect="1" noChangeArrowheads="1"/>
                    </pic:cNvPicPr>
                  </pic:nvPicPr>
                  <pic:blipFill>
                    <a:blip r:embed="rId14" cstate="print"/>
                    <a:srcRect/>
                    <a:stretch>
                      <a:fillRect/>
                    </a:stretch>
                  </pic:blipFill>
                  <pic:spPr>
                    <a:xfrm>
                      <a:off x="0" y="0"/>
                      <a:ext cx="5104765" cy="8865870"/>
                    </a:xfrm>
                    <a:prstGeom prst="rect">
                      <a:avLst/>
                    </a:prstGeom>
                    <a:noFill/>
                    <a:ln w="9525">
                      <a:noFill/>
                      <a:miter lim="800000"/>
                      <a:headEnd/>
                      <a:tailEnd/>
                    </a:ln>
                  </pic:spPr>
                </pic:pic>
              </a:graphicData>
            </a:graphic>
          </wp:inline>
        </w:drawing>
      </w:r>
    </w:p>
    <w:p>
      <w:pPr>
        <w:adjustRightInd w:val="0"/>
        <w:snapToGrid w:val="0"/>
        <w:spacing w:line="600" w:lineRule="exact"/>
        <w:jc w:val="center"/>
        <w:rPr>
          <w:rFonts w:ascii="宋体" w:hAnsi="宋体"/>
          <w:sz w:val="28"/>
          <w:szCs w:val="28"/>
        </w:rPr>
      </w:pPr>
      <w:r>
        <w:rPr>
          <w:rFonts w:hint="eastAsia" w:ascii="宋体" w:hAnsi="宋体"/>
          <w:sz w:val="28"/>
          <w:szCs w:val="28"/>
        </w:rPr>
        <w:t>第四部分  名词解释</w:t>
      </w:r>
    </w:p>
    <w:p>
      <w:pPr>
        <w:adjustRightInd w:val="0"/>
        <w:snapToGrid w:val="0"/>
        <w:spacing w:line="600" w:lineRule="exact"/>
        <w:ind w:firstLine="560" w:firstLineChars="200"/>
        <w:rPr>
          <w:rFonts w:ascii="宋体" w:hAnsi="宋体"/>
          <w:bCs/>
          <w:kern w:val="44"/>
          <w:sz w:val="28"/>
          <w:szCs w:val="28"/>
        </w:rPr>
      </w:pP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(一)一般公共预算财政拨款收入：指区级财政一般公共预算当年拨付的资金。</w:t>
      </w:r>
    </w:p>
    <w:p>
      <w:pPr>
        <w:adjustRightInd w:val="0"/>
        <w:snapToGrid w:val="0"/>
        <w:spacing w:line="600" w:lineRule="exact"/>
        <w:ind w:firstLine="420" w:firstLineChars="150"/>
        <w:rPr>
          <w:rFonts w:ascii="宋体" w:hAnsi="宋体"/>
          <w:bCs/>
          <w:kern w:val="44"/>
          <w:sz w:val="28"/>
          <w:szCs w:val="28"/>
        </w:rPr>
      </w:pPr>
      <w:r>
        <w:rPr>
          <w:rFonts w:hint="eastAsia" w:ascii="宋体" w:hAnsi="宋体"/>
          <w:bCs/>
          <w:kern w:val="44"/>
          <w:sz w:val="28"/>
          <w:szCs w:val="28"/>
        </w:rPr>
        <w:t xml:space="preserve"> (二)基本支出：指为保障机构正常运转、完成日常工作任务而发生的人员支出和公用支出。</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(三)项目支出：指在基本支出之外为完成特定的行政任务和事业发展目标所发生的支出。</w:t>
      </w:r>
    </w:p>
    <w:p>
      <w:pPr>
        <w:adjustRightInd w:val="0"/>
        <w:snapToGrid w:val="0"/>
        <w:spacing w:line="600" w:lineRule="exact"/>
        <w:ind w:firstLine="560" w:firstLineChars="200"/>
        <w:rPr>
          <w:rFonts w:ascii="宋体" w:hAnsi="宋体"/>
          <w:bCs/>
          <w:kern w:val="44"/>
          <w:sz w:val="28"/>
          <w:szCs w:val="28"/>
        </w:rPr>
      </w:pPr>
      <w:r>
        <w:rPr>
          <w:rFonts w:hint="eastAsia" w:ascii="宋体" w:hAnsi="宋体"/>
          <w:bCs/>
          <w:kern w:val="44"/>
          <w:sz w:val="28"/>
          <w:szCs w:val="28"/>
        </w:rPr>
        <w:t>(四)本部门使用的主要支出功能分类科目(项级)：</w:t>
      </w:r>
    </w:p>
    <w:p>
      <w:pPr>
        <w:adjustRightInd w:val="0"/>
        <w:snapToGrid w:val="0"/>
        <w:spacing w:line="600" w:lineRule="exact"/>
        <w:ind w:firstLine="560" w:firstLineChars="200"/>
        <w:rPr>
          <w:rFonts w:ascii="宋体" w:hAnsi="宋体"/>
          <w:sz w:val="28"/>
          <w:szCs w:val="28"/>
        </w:rPr>
      </w:pPr>
      <w:r>
        <w:rPr>
          <w:rFonts w:hint="eastAsia" w:ascii="宋体" w:hAnsi="宋体"/>
          <w:bCs/>
          <w:kern w:val="44"/>
          <w:sz w:val="28"/>
          <w:szCs w:val="28"/>
        </w:rPr>
        <w:t>1.</w:t>
      </w:r>
      <w:r>
        <w:rPr>
          <w:rFonts w:hint="eastAsia" w:ascii="宋体" w:hAnsi="宋体"/>
          <w:sz w:val="28"/>
          <w:szCs w:val="28"/>
        </w:rPr>
        <w:t>一般公共服务(类)政府办公厅（室）及相关机构事务(款)行政运行(项)：反映行政单位（包括实行公务员管理的事业单位）的基本支出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2一般公共服务(类)政府办公厅（室）及相关机构事务(款)一般行政管理事务（项）：反映行政单位（包括实行公务员管理的事业单位）未单独设置项级科目的其他项目支出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3一般公共服务(类)财政事务(款)事业运行（项）：反映事业单位的基本支出，不包括行政单位（包括实行公务员管理的事业单位）后勤服务中心、医务室等附属单位。</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4一般公共服务(类)纪检监察事务(款)其他纪检监察事务（项）：反映其他纪检监察事务方面的支出。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5一般公共服务(类) 其他一般公共服务(款)其他一般公共服务（项）：反应其他的一般公共服务支出。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6文化体育与传媒支出(类) 文化 (款)其他文化支出（项）：反映其他用于文化方面的支出。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7社会保障与就业支出(类) 民政管理事务 (款)基础政权与社区建设（项）：反映村民自治、村务公开等基层政权和社区建设工作的支出。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8社会保障与就业支出(类) 行政事业单位离退休 (款) 归口管理的行政单位离退休（项）：反映施行归口管理的行政单位（包括实行公务员管理的事业单位）开支的离退休经费。</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9社会保障与就业支出(类) 行政事业单位离退休 (款) 事业单位离退休（项）：反映实行归口管理的事业单位开支的离退休经费。</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10社会保障与就业支出(类) 就业补助 (款) 公益性岗位补贴（项）：反映财政对符合条件的就业困难人员在公益性岗位就业给与的岗位补贴支出。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11社会保障与就业支出(类) 抚恤(款) 其他优抚支出（项）：反映其他用于优抚方面的支出。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12卫生健康支出(类) 计划生育事务(款) 其他计划生育事务支出（项）：反映其他用于计划生育事务管理方面的支出。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13城乡社区支出(类) 城乡社区公共设施(款) 小城镇基础设施建设（项）：反映用于小城镇路、气、水、电等基本建设方面的支出。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14农林水支出(类) 农业(款) 事业运行（项）：反映用于农业事业单位基本支出，事业单位设施，系统运行与资产维护等方面的支出。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15农林水支出(类) 农村综合改革(款) 对村民委员会和村党支部的补助（项）：反映各级财政对村民委员会和党支部的补助支出，以及支持建立县级基本财力保障机制安排的村级组织运转奖补资金。</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16农林水支出(类) 农村综合改革(款) 其他农村综合改革支出（项）：反映其他用于农村综合改革方面的支出。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17自然资源海洋气象等支出(类) 自然资源事务(款) 其他资源事务支出（项）：反映其他用于资源事务方面的支出。</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18住房保障支出(类) 住房改革支出(款) 住房公积金（项）：反映行政事业单位按人力资源和社会保障部、财政部规定的基本工资和津贴补贴以及规定比例为职工缴纳的住房公积金。</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19住房保障支出(类) 住房改革支出(款) 提租补贴（项）：反映按房改政策规定的标准，行政事业单位向职工（含离退休人员）发放的租金补贴。</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 xml:space="preserve"> (五)“三公”经费：纳入财政一般公共预算管理的“三公”经费，是指区直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spacing w:line="600" w:lineRule="exact"/>
        <w:ind w:firstLine="560" w:firstLineChars="200"/>
        <w:rPr>
          <w:rFonts w:ascii="宋体" w:hAnsi="宋体"/>
          <w:sz w:val="28"/>
          <w:szCs w:val="28"/>
        </w:rPr>
      </w:pPr>
      <w:r>
        <w:rPr>
          <w:rFonts w:hint="eastAsia" w:ascii="宋体" w:hAnsi="宋体"/>
          <w:sz w:val="28"/>
          <w:szCs w:val="28"/>
        </w:rPr>
        <w:t>(六)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WRkZmJlYWE5MzRjMjhmN2U5MjhmYzgxZDhkNWEifQ=="/>
  </w:docVars>
  <w:rsids>
    <w:rsidRoot w:val="002902AC"/>
    <w:rsid w:val="00117BE1"/>
    <w:rsid w:val="00287C5A"/>
    <w:rsid w:val="002902AC"/>
    <w:rsid w:val="00292B8D"/>
    <w:rsid w:val="002B476B"/>
    <w:rsid w:val="003F7425"/>
    <w:rsid w:val="006E17A0"/>
    <w:rsid w:val="00717CD6"/>
    <w:rsid w:val="0084674E"/>
    <w:rsid w:val="00895CDF"/>
    <w:rsid w:val="00970CCD"/>
    <w:rsid w:val="00AD0DC6"/>
    <w:rsid w:val="00B73D5D"/>
    <w:rsid w:val="00BB274D"/>
    <w:rsid w:val="00C9247C"/>
    <w:rsid w:val="00E45ABD"/>
    <w:rsid w:val="23E848A5"/>
    <w:rsid w:val="58B6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rPr>
      <w:rFonts w:ascii="仿宋_GB2312" w:eastAsia="仿宋_GB2312"/>
      <w:sz w:val="32"/>
    </w:rPr>
  </w:style>
  <w:style w:type="paragraph" w:styleId="3">
    <w:name w:val="Balloon Text"/>
    <w:basedOn w:val="1"/>
    <w:link w:val="10"/>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日期 Char"/>
    <w:basedOn w:val="7"/>
    <w:link w:val="2"/>
    <w:uiPriority w:val="0"/>
    <w:rPr>
      <w:rFonts w:ascii="仿宋_GB2312" w:hAnsi="Times New Roman" w:eastAsia="仿宋_GB2312" w:cs="Times New Roman"/>
      <w:sz w:val="32"/>
      <w:szCs w:val="20"/>
    </w:rPr>
  </w:style>
  <w:style w:type="paragraph" w:customStyle="1" w:styleId="12">
    <w:name w:val="正文缩进 + 首行缩进:  2 字符"/>
    <w:basedOn w:val="1"/>
    <w:uiPriority w:val="0"/>
    <w:pPr>
      <w:spacing w:line="560" w:lineRule="exact"/>
      <w:ind w:firstLine="640"/>
    </w:pPr>
    <w:rPr>
      <w:rFonts w:eastAsia="仿宋_GB2312" w:cs="宋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5727</Words>
  <Characters>5956</Characters>
  <Lines>44</Lines>
  <Paragraphs>12</Paragraphs>
  <TotalTime>1</TotalTime>
  <ScaleCrop>false</ScaleCrop>
  <LinksUpToDate>false</LinksUpToDate>
  <CharactersWithSpaces>6046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2023-11-02T03:45:00Z</dcterms:created>
  <dc:creator>Administrator</dc:creator>
  <cp:lastModifiedBy>大鱼</cp:lastModifiedBy>
  <dcterms:modified xsi:type="dcterms:W3CDTF">2024-06-14T08:17:13Z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5F88CE1704054BB884B1F0429679D01B_12</vt:lpwstr>
  </property>
</Properties>
</file>