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atLeast"/>
        <w:jc w:val="center"/>
      </w:pPr>
    </w:p>
    <w:p>
      <w:pPr>
        <w:snapToGrid w:val="0"/>
        <w:spacing w:before="100" w:beforeAutospacing="1" w:after="100" w:afterAutospacing="1" w:line="560" w:lineRule="atLeast"/>
        <w:jc w:val="center"/>
      </w:pPr>
      <w:r>
        <w:rPr>
          <w:rFonts w:hint="eastAsia"/>
          <w:color w:val="000000"/>
          <w:sz w:val="48"/>
          <w:szCs w:val="48"/>
        </w:rPr>
        <w:t> </w:t>
      </w:r>
    </w:p>
    <w:p>
      <w:pPr>
        <w:snapToGrid w:val="0"/>
        <w:spacing w:before="100" w:beforeAutospacing="1" w:after="100" w:afterAutospacing="1" w:line="560" w:lineRule="atLeast"/>
        <w:jc w:val="center"/>
      </w:pPr>
      <w:r>
        <w:rPr>
          <w:rFonts w:hint="eastAsia"/>
          <w:color w:val="000000"/>
          <w:sz w:val="48"/>
          <w:szCs w:val="48"/>
        </w:rPr>
        <w:t> </w:t>
      </w:r>
      <w:r>
        <w:rPr>
          <w:rFonts w:hint="eastAsia" w:ascii="黑体" w:hAnsi="黑体" w:eastAsia="黑体"/>
          <w:color w:val="000000"/>
          <w:sz w:val="48"/>
          <w:szCs w:val="48"/>
        </w:rPr>
        <w:t>2017年度武汉市黄陂区滠口街道办事处部门决算</w:t>
      </w:r>
    </w:p>
    <w:p>
      <w:pPr>
        <w:snapToGrid w:val="0"/>
        <w:spacing w:before="100" w:beforeAutospacing="1" w:after="100" w:afterAutospacing="1"/>
        <w:jc w:val="center"/>
      </w:pPr>
      <w:r>
        <w:rPr>
          <w:rFonts w:hint="eastAsia"/>
          <w:b/>
          <w:bCs/>
          <w:color w:val="000000"/>
          <w:sz w:val="72"/>
          <w:szCs w:val="72"/>
        </w:rPr>
        <w:t> </w:t>
      </w:r>
    </w:p>
    <w:p>
      <w:pPr>
        <w:snapToGrid w:val="0"/>
        <w:spacing w:before="100" w:beforeAutospacing="1" w:after="100" w:afterAutospacing="1"/>
        <w:jc w:val="center"/>
      </w:pPr>
      <w:r>
        <w:rPr>
          <w:rFonts w:hint="eastAsia"/>
          <w:b/>
          <w:bCs/>
          <w:color w:val="000000"/>
          <w:sz w:val="72"/>
          <w:szCs w:val="72"/>
        </w:rPr>
        <w:t> </w:t>
      </w:r>
    </w:p>
    <w:p>
      <w:pPr>
        <w:snapToGrid w:val="0"/>
        <w:spacing w:before="100" w:beforeAutospacing="1" w:after="100" w:afterAutospacing="1"/>
        <w:jc w:val="center"/>
      </w:pPr>
      <w:r>
        <w:rPr>
          <w:rFonts w:hint="eastAsia"/>
          <w:b/>
          <w:bCs/>
          <w:color w:val="000000"/>
          <w:sz w:val="72"/>
          <w:szCs w:val="72"/>
        </w:rPr>
        <w:t> </w:t>
      </w:r>
    </w:p>
    <w:p>
      <w:pPr>
        <w:snapToGrid w:val="0"/>
        <w:spacing w:before="100" w:beforeAutospacing="1" w:after="100" w:afterAutospacing="1"/>
        <w:jc w:val="center"/>
      </w:pPr>
      <w:r>
        <w:rPr>
          <w:rFonts w:hint="eastAsia"/>
          <w:b/>
          <w:bCs/>
          <w:color w:val="000000"/>
          <w:sz w:val="72"/>
          <w:szCs w:val="72"/>
        </w:rPr>
        <w:t> </w:t>
      </w:r>
    </w:p>
    <w:p>
      <w:pPr>
        <w:snapToGrid w:val="0"/>
        <w:spacing w:before="100" w:beforeAutospacing="1" w:after="100" w:afterAutospacing="1"/>
        <w:jc w:val="center"/>
      </w:pPr>
      <w:r>
        <w:rPr>
          <w:rFonts w:hint="eastAsia"/>
          <w:b/>
          <w:bCs/>
          <w:color w:val="000000"/>
          <w:sz w:val="72"/>
          <w:szCs w:val="72"/>
        </w:rPr>
        <w:t> </w:t>
      </w:r>
    </w:p>
    <w:p>
      <w:pPr>
        <w:snapToGrid w:val="0"/>
        <w:spacing w:before="100" w:beforeAutospacing="1" w:after="100" w:afterAutospacing="1"/>
        <w:jc w:val="center"/>
      </w:pPr>
      <w:r>
        <w:rPr>
          <w:rFonts w:hint="eastAsia"/>
          <w:b/>
          <w:bCs/>
          <w:color w:val="000000"/>
          <w:sz w:val="72"/>
          <w:szCs w:val="72"/>
        </w:rPr>
        <w:t> </w:t>
      </w:r>
    </w:p>
    <w:p>
      <w:pPr>
        <w:snapToGrid w:val="0"/>
        <w:spacing w:before="100" w:beforeAutospacing="1" w:after="100" w:afterAutospacing="1"/>
        <w:jc w:val="center"/>
      </w:pPr>
      <w:r>
        <w:rPr>
          <w:rFonts w:hint="eastAsia"/>
          <w:b/>
          <w:bCs/>
          <w:color w:val="000000"/>
          <w:sz w:val="72"/>
          <w:szCs w:val="72"/>
        </w:rPr>
        <w:t> </w:t>
      </w:r>
    </w:p>
    <w:p>
      <w:pPr>
        <w:snapToGrid w:val="0"/>
        <w:spacing w:before="100" w:beforeAutospacing="1" w:after="100" w:afterAutospacing="1" w:line="560" w:lineRule="atLeast"/>
        <w:jc w:val="center"/>
      </w:pPr>
      <w:r>
        <w:rPr>
          <w:rFonts w:hint="eastAsia" w:ascii="仿宋_GB2312" w:eastAsia="仿宋_GB2312"/>
          <w:color w:val="000000"/>
          <w:sz w:val="32"/>
          <w:szCs w:val="32"/>
        </w:rPr>
        <w:t>2018年 月</w:t>
      </w:r>
      <w:r>
        <w:rPr>
          <w:rFonts w:hint="eastAsia"/>
          <w:color w:val="000000"/>
          <w:sz w:val="32"/>
          <w:szCs w:val="32"/>
        </w:rPr>
        <w:t> </w:t>
      </w:r>
      <w:r>
        <w:rPr>
          <w:rFonts w:hint="eastAsia" w:ascii="仿宋_GB2312" w:eastAsia="仿宋_GB2312"/>
          <w:color w:val="000000"/>
          <w:sz w:val="32"/>
          <w:szCs w:val="32"/>
        </w:rPr>
        <w:t xml:space="preserve"> 日</w:t>
      </w:r>
    </w:p>
    <w:p>
      <w:pPr>
        <w:snapToGrid w:val="0"/>
        <w:spacing w:before="100" w:beforeAutospacing="1" w:after="100" w:afterAutospacing="1" w:line="360" w:lineRule="auto"/>
      </w:pPr>
      <w:r>
        <w:rPr>
          <w:rFonts w:hint="eastAsia"/>
          <w:sz w:val="32"/>
          <w:szCs w:val="32"/>
        </w:rPr>
        <w:t> </w:t>
      </w:r>
    </w:p>
    <w:p>
      <w:pPr>
        <w:snapToGrid w:val="0"/>
        <w:spacing w:before="100" w:beforeAutospacing="1" w:after="100" w:afterAutospacing="1"/>
      </w:pPr>
      <w:r>
        <w:rPr>
          <w:rFonts w:hint="eastAsia"/>
        </w:rPr>
        <w:t> </w:t>
      </w:r>
    </w:p>
    <w:p>
      <w:pPr>
        <w:snapToGrid w:val="0"/>
        <w:spacing w:before="100" w:beforeAutospacing="1" w:after="100" w:afterAutospacing="1"/>
        <w:jc w:val="center"/>
      </w:pPr>
      <w:r>
        <w:rPr>
          <w:rFonts w:hint="eastAsia" w:ascii="黑体" w:hAnsi="黑体" w:eastAsia="黑体"/>
          <w:sz w:val="48"/>
          <w:szCs w:val="48"/>
        </w:rPr>
        <w:t>目</w:t>
      </w:r>
      <w:r>
        <w:rPr>
          <w:rFonts w:hint="eastAsia"/>
          <w:sz w:val="48"/>
          <w:szCs w:val="48"/>
        </w:rPr>
        <w:t>   </w:t>
      </w:r>
      <w:r>
        <w:rPr>
          <w:rFonts w:hint="eastAsia" w:ascii="黑体" w:hAnsi="黑体" w:eastAsia="黑体"/>
          <w:sz w:val="48"/>
          <w:szCs w:val="48"/>
        </w:rPr>
        <w:t xml:space="preserve"> 录</w:t>
      </w:r>
    </w:p>
    <w:p>
      <w:pPr>
        <w:snapToGrid w:val="0"/>
        <w:spacing w:before="100" w:beforeAutospacing="1" w:after="100" w:afterAutospacing="1" w:line="580" w:lineRule="atLeast"/>
        <w:ind w:firstLine="640"/>
      </w:pPr>
      <w:r>
        <w:rPr>
          <w:rFonts w:hint="eastAsia" w:ascii="黑体" w:hAnsi="黑体" w:eastAsia="黑体"/>
          <w:sz w:val="32"/>
          <w:szCs w:val="32"/>
        </w:rPr>
        <w:t>第一部分</w:t>
      </w:r>
      <w:r>
        <w:rPr>
          <w:rFonts w:hint="eastAsia"/>
          <w:sz w:val="32"/>
          <w:szCs w:val="32"/>
        </w:rPr>
        <w:t> </w:t>
      </w:r>
      <w:r>
        <w:rPr>
          <w:rFonts w:hint="eastAsia" w:ascii="黑体" w:hAnsi="黑体" w:eastAsia="黑体"/>
          <w:sz w:val="32"/>
          <w:szCs w:val="32"/>
        </w:rPr>
        <w:t xml:space="preserve"> 武汉市黄陂区滠口街道办事处概况</w:t>
      </w:r>
    </w:p>
    <w:p>
      <w:pPr>
        <w:snapToGrid w:val="0"/>
        <w:spacing w:before="100" w:beforeAutospacing="1" w:after="100" w:afterAutospacing="1" w:line="580" w:lineRule="atLeast"/>
        <w:ind w:firstLine="640"/>
      </w:pPr>
      <w:r>
        <w:rPr>
          <w:rFonts w:hint="eastAsia" w:ascii="仿宋_GB2312" w:eastAsia="仿宋_GB2312"/>
          <w:color w:val="000000"/>
          <w:sz w:val="32"/>
          <w:szCs w:val="32"/>
        </w:rPr>
        <w:t>一、部门主要职能</w:t>
      </w:r>
    </w:p>
    <w:p>
      <w:pPr>
        <w:snapToGrid w:val="0"/>
        <w:spacing w:before="100" w:beforeAutospacing="1" w:after="100" w:afterAutospacing="1" w:line="580" w:lineRule="atLeast"/>
        <w:ind w:firstLine="640"/>
      </w:pPr>
      <w:r>
        <w:rPr>
          <w:rFonts w:hint="eastAsia" w:ascii="仿宋_GB2312" w:eastAsia="仿宋_GB2312"/>
          <w:color w:val="000000"/>
          <w:sz w:val="32"/>
          <w:szCs w:val="32"/>
        </w:rPr>
        <w:t>二、部门决算单位构成</w:t>
      </w:r>
    </w:p>
    <w:p>
      <w:pPr>
        <w:snapToGrid w:val="0"/>
        <w:spacing w:before="100" w:beforeAutospacing="1" w:after="100" w:afterAutospacing="1" w:line="580" w:lineRule="atLeast"/>
        <w:ind w:firstLine="640"/>
      </w:pPr>
      <w:r>
        <w:rPr>
          <w:rFonts w:hint="eastAsia" w:ascii="仿宋_GB2312" w:eastAsia="仿宋_GB2312"/>
          <w:color w:val="000000"/>
          <w:sz w:val="32"/>
          <w:szCs w:val="32"/>
        </w:rPr>
        <w:t>三、部门人员构成</w:t>
      </w:r>
    </w:p>
    <w:p>
      <w:pPr>
        <w:snapToGrid w:val="0"/>
        <w:spacing w:before="100" w:beforeAutospacing="1" w:after="100" w:afterAutospacing="1" w:line="580" w:lineRule="atLeast"/>
        <w:ind w:firstLine="640"/>
      </w:pPr>
      <w:r>
        <w:rPr>
          <w:rFonts w:hint="eastAsia" w:ascii="黑体" w:hAnsi="黑体" w:eastAsia="黑体"/>
          <w:sz w:val="32"/>
          <w:szCs w:val="32"/>
        </w:rPr>
        <w:t>第二部分</w:t>
      </w:r>
      <w:r>
        <w:rPr>
          <w:rFonts w:hint="eastAsia"/>
          <w:sz w:val="32"/>
          <w:szCs w:val="32"/>
        </w:rPr>
        <w:t> </w:t>
      </w:r>
      <w:r>
        <w:rPr>
          <w:rFonts w:hint="eastAsia" w:ascii="黑体" w:hAnsi="黑体" w:eastAsia="黑体"/>
          <w:sz w:val="32"/>
          <w:szCs w:val="32"/>
        </w:rPr>
        <w:t xml:space="preserve"> 武汉市黄陂区滠口街道办事处2017年度部门决算表</w:t>
      </w:r>
    </w:p>
    <w:p>
      <w:pPr>
        <w:snapToGrid w:val="0"/>
        <w:spacing w:before="100" w:beforeAutospacing="1" w:after="100" w:afterAutospacing="1" w:line="580" w:lineRule="atLeast"/>
        <w:ind w:right="-512" w:firstLine="640"/>
      </w:pPr>
      <w:r>
        <w:rPr>
          <w:rFonts w:hint="eastAsia" w:ascii="仿宋_GB2312" w:eastAsia="仿宋_GB2312"/>
          <w:sz w:val="32"/>
          <w:szCs w:val="32"/>
        </w:rPr>
        <w:t>一、收入支出决算总表(表1)</w:t>
      </w:r>
    </w:p>
    <w:p>
      <w:pPr>
        <w:snapToGrid w:val="0"/>
        <w:spacing w:before="100" w:beforeAutospacing="1" w:after="100" w:afterAutospacing="1" w:line="580" w:lineRule="atLeast"/>
        <w:ind w:firstLine="640"/>
      </w:pPr>
      <w:r>
        <w:rPr>
          <w:rFonts w:hint="eastAsia" w:ascii="仿宋_GB2312" w:eastAsia="仿宋_GB2312"/>
          <w:sz w:val="32"/>
          <w:szCs w:val="32"/>
        </w:rPr>
        <w:t>二、收入决算表(表2)</w:t>
      </w:r>
    </w:p>
    <w:p>
      <w:pPr>
        <w:snapToGrid w:val="0"/>
        <w:spacing w:before="100" w:beforeAutospacing="1" w:after="100" w:afterAutospacing="1" w:line="580" w:lineRule="atLeast"/>
        <w:ind w:firstLine="640"/>
      </w:pPr>
      <w:r>
        <w:rPr>
          <w:rFonts w:hint="eastAsia" w:ascii="仿宋_GB2312" w:eastAsia="仿宋_GB2312"/>
          <w:sz w:val="32"/>
          <w:szCs w:val="32"/>
        </w:rPr>
        <w:t>三、支出决算表(表3)</w:t>
      </w:r>
    </w:p>
    <w:p>
      <w:pPr>
        <w:snapToGrid w:val="0"/>
        <w:spacing w:before="100" w:beforeAutospacing="1" w:after="100" w:afterAutospacing="1" w:line="580" w:lineRule="atLeast"/>
        <w:ind w:firstLine="640"/>
      </w:pPr>
      <w:r>
        <w:rPr>
          <w:rFonts w:hint="eastAsia" w:ascii="仿宋_GB2312" w:eastAsia="仿宋_GB2312"/>
          <w:sz w:val="32"/>
          <w:szCs w:val="32"/>
        </w:rPr>
        <w:t>四、财政拨款收入支出决算总表(表4)</w:t>
      </w:r>
    </w:p>
    <w:p>
      <w:pPr>
        <w:snapToGrid w:val="0"/>
        <w:spacing w:before="100" w:beforeAutospacing="1" w:after="100" w:afterAutospacing="1" w:line="580" w:lineRule="atLeast"/>
        <w:ind w:firstLine="640"/>
      </w:pPr>
      <w:r>
        <w:rPr>
          <w:rFonts w:hint="eastAsia" w:ascii="仿宋_GB2312" w:eastAsia="仿宋_GB2312"/>
          <w:sz w:val="32"/>
          <w:szCs w:val="32"/>
        </w:rPr>
        <w:t>五、一般公共预算财政拨款支出决算表(表5)</w:t>
      </w:r>
    </w:p>
    <w:p>
      <w:pPr>
        <w:snapToGrid w:val="0"/>
        <w:spacing w:before="100" w:beforeAutospacing="1" w:after="100" w:afterAutospacing="1" w:line="580" w:lineRule="atLeast"/>
        <w:ind w:firstLine="640"/>
      </w:pPr>
      <w:r>
        <w:rPr>
          <w:rFonts w:hint="eastAsia" w:ascii="仿宋_GB2312" w:eastAsia="仿宋_GB2312"/>
          <w:sz w:val="32"/>
          <w:szCs w:val="32"/>
        </w:rPr>
        <w:t>六、一般公共预算财政拨款基本支出决算表(表6)</w:t>
      </w:r>
    </w:p>
    <w:p>
      <w:pPr>
        <w:snapToGrid w:val="0"/>
        <w:spacing w:before="100" w:beforeAutospacing="1" w:after="100" w:afterAutospacing="1" w:line="580" w:lineRule="atLeast"/>
        <w:ind w:firstLine="640"/>
      </w:pPr>
      <w:r>
        <w:rPr>
          <w:rFonts w:hint="eastAsia" w:ascii="仿宋_GB2312" w:eastAsia="仿宋_GB2312"/>
          <w:sz w:val="32"/>
          <w:szCs w:val="32"/>
        </w:rPr>
        <w:t>七、一般公共预算财政拨款“三公”经费支出决算表(表7)</w:t>
      </w:r>
    </w:p>
    <w:p>
      <w:pPr>
        <w:snapToGrid w:val="0"/>
        <w:spacing w:before="100" w:beforeAutospacing="1" w:after="100" w:afterAutospacing="1" w:line="580" w:lineRule="atLeast"/>
        <w:ind w:firstLine="640"/>
      </w:pPr>
      <w:r>
        <w:rPr>
          <w:rFonts w:hint="eastAsia" w:ascii="仿宋_GB2312" w:eastAsia="仿宋_GB2312"/>
          <w:sz w:val="32"/>
          <w:szCs w:val="32"/>
        </w:rPr>
        <w:t>八、政府性基金预算财政拨款收入支出决算表(表8)</w:t>
      </w:r>
    </w:p>
    <w:p>
      <w:pPr>
        <w:snapToGrid w:val="0"/>
        <w:spacing w:before="100" w:beforeAutospacing="1" w:after="100" w:afterAutospacing="1"/>
      </w:pPr>
      <w:r>
        <w:rPr>
          <w:rFonts w:hint="eastAsia"/>
          <w:sz w:val="32"/>
          <w:szCs w:val="32"/>
        </w:rPr>
        <w:t>  </w:t>
      </w:r>
      <w:r>
        <w:rPr>
          <w:rFonts w:hint="eastAsia" w:ascii="黑体" w:hAnsi="黑体" w:eastAsia="黑体"/>
          <w:sz w:val="32"/>
          <w:szCs w:val="32"/>
        </w:rPr>
        <w:t xml:space="preserve"> 第三部分</w:t>
      </w:r>
      <w:r>
        <w:rPr>
          <w:rFonts w:hint="eastAsia"/>
          <w:sz w:val="32"/>
          <w:szCs w:val="32"/>
        </w:rPr>
        <w:t> </w:t>
      </w:r>
      <w:r>
        <w:rPr>
          <w:rFonts w:hint="eastAsia" w:ascii="黑体" w:hAnsi="黑体" w:eastAsia="黑体"/>
          <w:sz w:val="32"/>
          <w:szCs w:val="32"/>
        </w:rPr>
        <w:t xml:space="preserve"> 武汉市黄陂区滠口街道办事处2017年度部门决算情况说明</w:t>
      </w:r>
    </w:p>
    <w:p>
      <w:pPr>
        <w:snapToGrid w:val="0"/>
        <w:spacing w:before="100" w:beforeAutospacing="1" w:after="100" w:afterAutospacing="1" w:line="580" w:lineRule="atLeast"/>
        <w:ind w:firstLine="640"/>
      </w:pPr>
      <w:r>
        <w:rPr>
          <w:rFonts w:hint="eastAsia"/>
          <w:sz w:val="32"/>
          <w:szCs w:val="32"/>
        </w:rPr>
        <w:t xml:space="preserve">一、收入支出决算总体情况说明 </w:t>
      </w:r>
    </w:p>
    <w:p>
      <w:pPr>
        <w:snapToGrid w:val="0"/>
        <w:spacing w:before="100" w:beforeAutospacing="1" w:after="100" w:afterAutospacing="1" w:line="580" w:lineRule="atLeast"/>
        <w:ind w:firstLine="640"/>
      </w:pPr>
      <w:r>
        <w:rPr>
          <w:rFonts w:hint="eastAsia"/>
          <w:sz w:val="32"/>
          <w:szCs w:val="32"/>
        </w:rPr>
        <w:t>二、收入决算情况说明</w:t>
      </w:r>
    </w:p>
    <w:p>
      <w:pPr>
        <w:snapToGrid w:val="0"/>
        <w:spacing w:before="100" w:beforeAutospacing="1" w:after="100" w:afterAutospacing="1" w:line="580" w:lineRule="atLeast"/>
        <w:ind w:firstLine="640"/>
      </w:pPr>
      <w:r>
        <w:rPr>
          <w:rFonts w:hint="eastAsia"/>
          <w:sz w:val="32"/>
          <w:szCs w:val="32"/>
        </w:rPr>
        <w:t>三、支出决算情况说明</w:t>
      </w:r>
    </w:p>
    <w:p>
      <w:pPr>
        <w:snapToGrid w:val="0"/>
        <w:spacing w:before="100" w:beforeAutospacing="1" w:after="100" w:afterAutospacing="1" w:line="580" w:lineRule="atLeast"/>
        <w:ind w:firstLine="640"/>
      </w:pPr>
      <w:r>
        <w:rPr>
          <w:rFonts w:hint="eastAsia"/>
          <w:sz w:val="32"/>
          <w:szCs w:val="32"/>
        </w:rPr>
        <w:t>四、财政拨款收入支出决算总体情况说明</w:t>
      </w:r>
    </w:p>
    <w:p>
      <w:pPr>
        <w:snapToGrid w:val="0"/>
        <w:spacing w:before="100" w:beforeAutospacing="1" w:after="100" w:afterAutospacing="1" w:line="580" w:lineRule="atLeast"/>
        <w:ind w:firstLine="640"/>
      </w:pPr>
      <w:r>
        <w:rPr>
          <w:rFonts w:hint="eastAsia"/>
          <w:sz w:val="32"/>
          <w:szCs w:val="32"/>
        </w:rPr>
        <w:t>五、一般公共预算财政拨款支出决算情况说明</w:t>
      </w:r>
    </w:p>
    <w:p>
      <w:pPr>
        <w:snapToGrid w:val="0"/>
        <w:spacing w:before="100" w:beforeAutospacing="1" w:after="100" w:afterAutospacing="1" w:line="580" w:lineRule="atLeast"/>
        <w:ind w:firstLine="640"/>
      </w:pPr>
      <w:r>
        <w:rPr>
          <w:rFonts w:hint="eastAsia"/>
          <w:sz w:val="32"/>
          <w:szCs w:val="32"/>
        </w:rPr>
        <w:t>六、一般公共预算财政拨款基本支出决算情况说明</w:t>
      </w:r>
    </w:p>
    <w:p>
      <w:pPr>
        <w:snapToGrid w:val="0"/>
        <w:spacing w:before="100" w:beforeAutospacing="1" w:after="100" w:afterAutospacing="1" w:line="580" w:lineRule="atLeast"/>
        <w:ind w:firstLine="640"/>
      </w:pPr>
      <w:r>
        <w:rPr>
          <w:rFonts w:hint="eastAsia"/>
          <w:sz w:val="32"/>
          <w:szCs w:val="32"/>
        </w:rPr>
        <w:t xml:space="preserve">七、一般公共预算财政拨款“三公”经费支出决算情况说明 </w:t>
      </w:r>
    </w:p>
    <w:p>
      <w:pPr>
        <w:snapToGrid w:val="0"/>
        <w:spacing w:before="100" w:beforeAutospacing="1" w:after="100" w:afterAutospacing="1" w:line="580" w:lineRule="atLeast"/>
        <w:ind w:firstLine="640"/>
      </w:pPr>
      <w:r>
        <w:rPr>
          <w:rFonts w:hint="eastAsia"/>
          <w:sz w:val="32"/>
          <w:szCs w:val="32"/>
        </w:rPr>
        <w:t>八、政府性基金预算财政拨款收入支出决算情况说明</w:t>
      </w:r>
    </w:p>
    <w:p>
      <w:pPr>
        <w:snapToGrid w:val="0"/>
        <w:spacing w:before="100" w:beforeAutospacing="1" w:after="100" w:afterAutospacing="1" w:line="580" w:lineRule="atLeast"/>
        <w:ind w:firstLine="640"/>
      </w:pPr>
      <w:r>
        <w:rPr>
          <w:rFonts w:hint="eastAsia"/>
          <w:sz w:val="32"/>
          <w:szCs w:val="32"/>
        </w:rPr>
        <w:t>九、关于2017年度预算绩效情况说明</w:t>
      </w:r>
    </w:p>
    <w:p>
      <w:pPr>
        <w:snapToGrid w:val="0"/>
        <w:spacing w:before="100" w:beforeAutospacing="1" w:after="100" w:afterAutospacing="1" w:line="580" w:lineRule="atLeast"/>
        <w:ind w:firstLine="640"/>
      </w:pPr>
      <w:r>
        <w:rPr>
          <w:rFonts w:hint="eastAsia" w:ascii="仿宋_GB2312" w:eastAsia="仿宋_GB2312"/>
          <w:sz w:val="32"/>
          <w:szCs w:val="32"/>
        </w:rPr>
        <w:t>十、</w:t>
      </w:r>
      <w:r>
        <w:rPr>
          <w:rFonts w:hint="eastAsia" w:ascii="仿宋_GB2312" w:eastAsia="仿宋_GB2312"/>
          <w:color w:val="000000"/>
          <w:sz w:val="32"/>
          <w:szCs w:val="32"/>
        </w:rPr>
        <w:t>其他重要事项的情况</w:t>
      </w:r>
      <w:r>
        <w:rPr>
          <w:rFonts w:hint="eastAsia" w:ascii="仿宋_GB2312" w:eastAsia="仿宋_GB2312"/>
          <w:sz w:val="32"/>
          <w:szCs w:val="32"/>
        </w:rPr>
        <w:t>说明</w:t>
      </w:r>
    </w:p>
    <w:p>
      <w:pPr>
        <w:snapToGrid w:val="0"/>
        <w:spacing w:before="100" w:beforeAutospacing="1" w:after="100" w:afterAutospacing="1" w:line="580" w:lineRule="atLeast"/>
        <w:ind w:firstLine="640"/>
      </w:pPr>
      <w:r>
        <w:rPr>
          <w:rFonts w:hint="eastAsia" w:ascii="黑体" w:hAnsi="黑体" w:eastAsia="黑体"/>
          <w:sz w:val="32"/>
          <w:szCs w:val="32"/>
        </w:rPr>
        <w:t>第四部分</w:t>
      </w:r>
      <w:r>
        <w:rPr>
          <w:rFonts w:hint="eastAsia"/>
          <w:sz w:val="32"/>
          <w:szCs w:val="32"/>
        </w:rPr>
        <w:t> </w:t>
      </w:r>
      <w:r>
        <w:rPr>
          <w:rFonts w:hint="eastAsia" w:ascii="黑体" w:hAnsi="黑体" w:eastAsia="黑体"/>
          <w:sz w:val="32"/>
          <w:szCs w:val="32"/>
        </w:rPr>
        <w:t xml:space="preserve"> 2017年重点工作完成情况</w:t>
      </w:r>
    </w:p>
    <w:p>
      <w:pPr>
        <w:snapToGrid w:val="0"/>
        <w:spacing w:before="100" w:beforeAutospacing="1" w:after="100" w:afterAutospacing="1" w:line="580" w:lineRule="atLeast"/>
        <w:ind w:firstLine="640"/>
      </w:pPr>
      <w:r>
        <w:rPr>
          <w:rFonts w:hint="eastAsia" w:ascii="黑体" w:hAnsi="黑体" w:eastAsia="黑体"/>
          <w:sz w:val="32"/>
          <w:szCs w:val="32"/>
        </w:rPr>
        <w:t>第五部分</w:t>
      </w:r>
      <w:r>
        <w:rPr>
          <w:rFonts w:hint="eastAsia"/>
          <w:sz w:val="32"/>
          <w:szCs w:val="32"/>
        </w:rPr>
        <w:t> </w:t>
      </w:r>
      <w:r>
        <w:rPr>
          <w:rFonts w:hint="eastAsia" w:ascii="黑体" w:hAnsi="黑体" w:eastAsia="黑体"/>
          <w:sz w:val="32"/>
          <w:szCs w:val="32"/>
        </w:rPr>
        <w:t xml:space="preserve"> 名词解释</w:t>
      </w:r>
    </w:p>
    <w:p>
      <w:pPr>
        <w:snapToGrid w:val="0"/>
        <w:spacing w:before="100" w:beforeAutospacing="1" w:after="100" w:afterAutospacing="1" w:line="600" w:lineRule="atLeast"/>
        <w:ind w:right="24"/>
      </w:pPr>
      <w:r>
        <w:rPr>
          <w:rFonts w:hint="eastAsia"/>
          <w:sz w:val="32"/>
          <w:szCs w:val="32"/>
        </w:rPr>
        <w:t> </w:t>
      </w:r>
    </w:p>
    <w:p>
      <w:pPr>
        <w:snapToGrid w:val="0"/>
        <w:spacing w:before="100" w:beforeAutospacing="1" w:after="100" w:afterAutospacing="1"/>
      </w:pPr>
      <w:r>
        <w:rPr>
          <w:rFonts w:hint="eastAsia"/>
        </w:rPr>
        <w:t> </w:t>
      </w:r>
    </w:p>
    <w:p>
      <w:pPr>
        <w:snapToGrid w:val="0"/>
        <w:spacing w:before="100" w:beforeAutospacing="1" w:after="100" w:afterAutospacing="1"/>
        <w:jc w:val="center"/>
      </w:pPr>
      <w:r>
        <w:rPr>
          <w:rFonts w:hint="eastAsia"/>
          <w:b/>
          <w:bCs/>
          <w:sz w:val="48"/>
          <w:szCs w:val="48"/>
        </w:rPr>
        <w:t>第一部分  武汉市黄陂区滠口街道办事处概况</w:t>
      </w:r>
    </w:p>
    <w:p>
      <w:pPr>
        <w:snapToGrid w:val="0"/>
        <w:spacing w:before="100" w:beforeAutospacing="1" w:after="100" w:afterAutospacing="1" w:line="580" w:lineRule="atLeast"/>
        <w:ind w:firstLine="640"/>
        <w:rPr>
          <w:rFonts w:ascii="黑体" w:hAnsi="黑体" w:eastAsia="黑体"/>
          <w:sz w:val="32"/>
          <w:szCs w:val="32"/>
        </w:rPr>
      </w:pPr>
      <w:r>
        <w:rPr>
          <w:rFonts w:hint="eastAsia" w:ascii="黑体" w:hAnsi="黑体" w:eastAsia="黑体"/>
          <w:sz w:val="32"/>
          <w:szCs w:val="32"/>
        </w:rPr>
        <w:t>一、部门主要职能</w:t>
      </w:r>
    </w:p>
    <w:p>
      <w:pPr>
        <w:pStyle w:val="4"/>
        <w:spacing w:before="0" w:beforeAutospacing="0" w:after="0" w:afterAutospacing="0" w:line="520" w:lineRule="exact"/>
        <w:ind w:firstLine="800" w:firstLineChars="250"/>
        <w:rPr>
          <w:rFonts w:ascii="仿宋_GB2312" w:hAnsi="Times New Roman" w:eastAsia="仿宋_GB2312" w:cs="Times New Roman"/>
          <w:sz w:val="32"/>
          <w:szCs w:val="32"/>
        </w:rPr>
      </w:pPr>
      <w:r>
        <w:rPr>
          <w:rFonts w:hint="eastAsia" w:ascii="仿宋_GB2312" w:eastAsia="仿宋_GB2312"/>
          <w:sz w:val="32"/>
          <w:szCs w:val="32"/>
        </w:rPr>
        <w:t>1、全面贯彻党的路线、方针、政策和国家的法律、法规，围绕全区经济和社会发展及区委、区政府的中心工作，搞好社区(村)服务，发展街道经济，带领群众搞好两个文明建设，指导居（村）委会开展工作。</w:t>
      </w:r>
    </w:p>
    <w:p>
      <w:pPr>
        <w:spacing w:line="520" w:lineRule="exact"/>
        <w:rPr>
          <w:rFonts w:ascii="仿宋_GB2312" w:hAnsi="Tahoma" w:eastAsia="仿宋_GB2312" w:cs="Tahoma"/>
          <w:sz w:val="32"/>
          <w:szCs w:val="32"/>
        </w:rPr>
      </w:pPr>
      <w:r>
        <w:rPr>
          <w:rFonts w:hint="eastAsia" w:ascii="仿宋_GB2312" w:eastAsia="仿宋_GB2312"/>
          <w:sz w:val="32"/>
          <w:szCs w:val="32"/>
        </w:rPr>
        <w:t xml:space="preserve">     2、负责辖区社会稳定，搞好社会治安综合治理管理工作，组织实施普法教育，搞好司法和法律服务，加强民族宗教管理，维护民族团结，按照“属地管理”的原则，做好民事调解，组织社会治安联防，落实民政政策，妥善处理好下岗职工及各种人员的来信来访；健全双拥工作机构，做好双拥宣传，增强全民国防建设和双拥观念，搞好兵役登记，征兵及民兵训练，发动和组织民兵参加两个文明建设，促进社区服务，组织防汛、抢险和救灾工作。</w:t>
      </w:r>
    </w:p>
    <w:p>
      <w:pPr>
        <w:spacing w:line="520" w:lineRule="exact"/>
        <w:ind w:firstLine="435"/>
        <w:rPr>
          <w:rFonts w:ascii="仿宋_GB2312" w:eastAsia="仿宋_GB2312"/>
          <w:sz w:val="32"/>
          <w:szCs w:val="32"/>
        </w:rPr>
      </w:pPr>
      <w:r>
        <w:rPr>
          <w:rFonts w:hint="eastAsia" w:ascii="仿宋_GB2312" w:eastAsia="仿宋_GB2312"/>
          <w:sz w:val="32"/>
          <w:szCs w:val="32"/>
        </w:rPr>
        <w:t>3、负责办事处基层组织建设。开展党员干部、居民管理、教育、组织发展等党务，做好纪检工作和思想政治工作；负责街区党支部、团支部、居(村)委会、妇代会、残联、老协等基层组织建设和作风建设，并充分发挥其作用。</w:t>
      </w:r>
    </w:p>
    <w:p>
      <w:pPr>
        <w:spacing w:line="520" w:lineRule="exact"/>
        <w:ind w:firstLine="435"/>
        <w:rPr>
          <w:rFonts w:ascii="仿宋_GB2312" w:eastAsia="仿宋_GB2312"/>
          <w:sz w:val="32"/>
          <w:szCs w:val="32"/>
        </w:rPr>
      </w:pPr>
      <w:r>
        <w:rPr>
          <w:rFonts w:hint="eastAsia" w:ascii="仿宋_GB2312" w:eastAsia="仿宋_GB2312"/>
          <w:sz w:val="32"/>
          <w:szCs w:val="32"/>
        </w:rPr>
        <w:t>4、负责落实计划生育政策，加强辖区城市育龄妇女和流动人口计划生育的科学化管理，做好重点育龄对象的访视检测工作，杜绝计划外生育，并做好妇女儿童保健及全民健康教育等工作。</w:t>
      </w:r>
    </w:p>
    <w:p>
      <w:pPr>
        <w:spacing w:line="520" w:lineRule="exact"/>
        <w:rPr>
          <w:rFonts w:ascii="仿宋_GB2312" w:eastAsia="仿宋_GB2312"/>
          <w:sz w:val="32"/>
          <w:szCs w:val="32"/>
        </w:rPr>
      </w:pPr>
      <w:r>
        <w:rPr>
          <w:rFonts w:hint="eastAsia" w:ascii="仿宋_GB2312" w:eastAsia="仿宋_GB2312"/>
          <w:sz w:val="32"/>
          <w:szCs w:val="32"/>
        </w:rPr>
        <w:t xml:space="preserve">    5、负责搞好城市卫生管理。组织辖区单位和居民群众开展爱国卫生运动，配合市政、园林等有关部门加强城市卫生管理和监督，维护城市正常秩序，树立文明城市意识，争创卫生文明单位。</w:t>
      </w:r>
    </w:p>
    <w:p>
      <w:pPr>
        <w:spacing w:line="520" w:lineRule="exact"/>
        <w:ind w:firstLine="435"/>
        <w:rPr>
          <w:rFonts w:ascii="仿宋_GB2312" w:eastAsia="仿宋_GB2312"/>
          <w:sz w:val="32"/>
          <w:szCs w:val="32"/>
        </w:rPr>
      </w:pPr>
      <w:r>
        <w:rPr>
          <w:rFonts w:hint="eastAsia" w:ascii="仿宋_GB2312" w:eastAsia="仿宋_GB2312"/>
          <w:sz w:val="32"/>
          <w:szCs w:val="32"/>
        </w:rPr>
        <w:t>6、以多种形式发展、壮大街道经济，大力开展社区(村)再就业服务，积极安置下岗职工和闲散劳动力；做好城市居民最低生活保障工作，加强管理，保持社会稳定。</w:t>
      </w:r>
    </w:p>
    <w:p>
      <w:pPr>
        <w:spacing w:line="520" w:lineRule="exact"/>
        <w:ind w:firstLine="435"/>
        <w:rPr>
          <w:rFonts w:ascii="仿宋_GB2312" w:eastAsia="仿宋_GB2312"/>
          <w:sz w:val="32"/>
          <w:szCs w:val="32"/>
        </w:rPr>
      </w:pPr>
      <w:r>
        <w:rPr>
          <w:rFonts w:hint="eastAsia" w:ascii="仿宋_GB2312" w:eastAsia="仿宋_GB2312"/>
          <w:sz w:val="32"/>
          <w:szCs w:val="32"/>
        </w:rPr>
        <w:t>7、负责辖区内人民代表联络，办理代表议案，换届选举等工作。</w:t>
      </w:r>
    </w:p>
    <w:p>
      <w:pPr>
        <w:spacing w:line="640" w:lineRule="atLeast"/>
        <w:ind w:firstLine="643"/>
        <w:rPr>
          <w:rFonts w:ascii="Tahoma"/>
          <w:sz w:val="22"/>
          <w:szCs w:val="22"/>
        </w:rPr>
      </w:pPr>
      <w:r>
        <w:rPr>
          <w:rFonts w:hint="eastAsia" w:ascii="仿宋_GB2312" w:eastAsia="仿宋_GB2312"/>
          <w:sz w:val="32"/>
          <w:szCs w:val="32"/>
        </w:rPr>
        <w:t>8、承办区委、区政府交办的其它工作。</w:t>
      </w:r>
    </w:p>
    <w:p>
      <w:pPr>
        <w:snapToGrid w:val="0"/>
        <w:spacing w:before="100" w:beforeAutospacing="1" w:after="100" w:afterAutospacing="1" w:line="580" w:lineRule="atLeast"/>
        <w:ind w:firstLine="640"/>
      </w:pPr>
    </w:p>
    <w:p>
      <w:pPr>
        <w:snapToGrid w:val="0"/>
        <w:spacing w:before="100" w:beforeAutospacing="1" w:after="100" w:afterAutospacing="1" w:line="580" w:lineRule="atLeast"/>
        <w:ind w:firstLine="640"/>
      </w:pPr>
      <w:r>
        <w:rPr>
          <w:rFonts w:hint="eastAsia" w:ascii="黑体" w:hAnsi="黑体" w:eastAsia="黑体"/>
          <w:sz w:val="32"/>
          <w:szCs w:val="32"/>
        </w:rPr>
        <w:t>二、部门决算单位构成</w:t>
      </w:r>
    </w:p>
    <w:p>
      <w:pPr>
        <w:snapToGrid w:val="0"/>
        <w:spacing w:before="100" w:beforeAutospacing="1" w:after="100" w:afterAutospacing="1" w:line="580" w:lineRule="atLeast"/>
        <w:ind w:firstLine="640"/>
      </w:pPr>
      <w:r>
        <w:rPr>
          <w:rFonts w:hint="eastAsia" w:ascii="仿宋_GB2312" w:eastAsia="仿宋_GB2312"/>
          <w:sz w:val="32"/>
          <w:szCs w:val="32"/>
        </w:rPr>
        <w:t>从决算单位构成来看，武汉市黄陂区滠口街道办事处部门决算由纳入独立核算的单位本级决算和</w:t>
      </w:r>
      <w:r>
        <w:rPr>
          <w:rFonts w:hint="eastAsia"/>
          <w:sz w:val="32"/>
          <w:szCs w:val="32"/>
          <w:u w:val="single"/>
        </w:rPr>
        <w:t>2</w:t>
      </w:r>
      <w:r>
        <w:rPr>
          <w:rFonts w:hint="eastAsia" w:ascii="仿宋_GB2312" w:eastAsia="仿宋_GB2312"/>
          <w:sz w:val="32"/>
          <w:szCs w:val="32"/>
        </w:rPr>
        <w:t>个下属单位决算组成。其中：行政单位</w:t>
      </w:r>
      <w:r>
        <w:rPr>
          <w:rFonts w:hint="eastAsia"/>
          <w:sz w:val="32"/>
          <w:szCs w:val="32"/>
          <w:u w:val="single"/>
        </w:rPr>
        <w:t>1</w:t>
      </w:r>
      <w:r>
        <w:rPr>
          <w:rFonts w:hint="eastAsia" w:ascii="仿宋_GB2312" w:eastAsia="仿宋_GB2312"/>
          <w:sz w:val="32"/>
          <w:szCs w:val="32"/>
        </w:rPr>
        <w:t>个、全额拨款事业单位</w:t>
      </w:r>
      <w:r>
        <w:rPr>
          <w:rFonts w:hint="eastAsia"/>
          <w:sz w:val="32"/>
          <w:szCs w:val="32"/>
          <w:u w:val="single"/>
        </w:rPr>
        <w:t>2</w:t>
      </w:r>
      <w:r>
        <w:rPr>
          <w:rFonts w:hint="eastAsia" w:ascii="仿宋_GB2312" w:eastAsia="仿宋_GB2312"/>
          <w:sz w:val="32"/>
          <w:szCs w:val="32"/>
        </w:rPr>
        <w:t>个。</w:t>
      </w:r>
    </w:p>
    <w:p>
      <w:pPr>
        <w:snapToGrid w:val="0"/>
        <w:spacing w:before="100" w:beforeAutospacing="1" w:after="100" w:afterAutospacing="1" w:line="580" w:lineRule="atLeast"/>
        <w:ind w:firstLine="640"/>
      </w:pPr>
      <w:r>
        <w:rPr>
          <w:rFonts w:hint="eastAsia" w:ascii="仿宋_GB2312" w:eastAsia="仿宋_GB2312"/>
          <w:sz w:val="32"/>
          <w:szCs w:val="32"/>
        </w:rPr>
        <w:t>纳入武汉市黄陂区滠口街道办事处2017年度部门决算编制范围的二级预算单位包括：</w:t>
      </w:r>
    </w:p>
    <w:p>
      <w:pPr>
        <w:snapToGrid w:val="0"/>
        <w:spacing w:before="100" w:beforeAutospacing="1" w:after="100" w:afterAutospacing="1" w:line="580" w:lineRule="atLeast"/>
        <w:ind w:firstLine="640"/>
      </w:pPr>
      <w:r>
        <w:rPr>
          <w:rFonts w:hint="eastAsia" w:ascii="仿宋_GB2312" w:eastAsia="仿宋_GB2312"/>
          <w:sz w:val="32"/>
          <w:szCs w:val="32"/>
        </w:rPr>
        <w:t>1.武汉市黄陂区滠口街道财政所</w:t>
      </w:r>
    </w:p>
    <w:p>
      <w:pPr>
        <w:snapToGrid w:val="0"/>
        <w:spacing w:before="100" w:beforeAutospacing="1" w:after="100" w:afterAutospacing="1" w:line="580" w:lineRule="atLeast"/>
        <w:ind w:firstLine="640"/>
      </w:pPr>
      <w:r>
        <w:rPr>
          <w:rFonts w:hint="eastAsia" w:ascii="仿宋_GB2312" w:eastAsia="仿宋_GB2312"/>
          <w:sz w:val="32"/>
          <w:szCs w:val="32"/>
        </w:rPr>
        <w:t>2.武汉市黄陂区滠口街道办事处经济经营管理站</w:t>
      </w:r>
    </w:p>
    <w:p>
      <w:pPr>
        <w:snapToGrid w:val="0"/>
        <w:spacing w:before="100" w:beforeAutospacing="1" w:after="100" w:afterAutospacing="1" w:line="580" w:lineRule="atLeast"/>
        <w:ind w:firstLine="640"/>
      </w:pPr>
    </w:p>
    <w:p>
      <w:pPr>
        <w:snapToGrid w:val="0"/>
        <w:spacing w:before="100" w:beforeAutospacing="1" w:after="100" w:afterAutospacing="1" w:line="580" w:lineRule="atLeast"/>
        <w:ind w:firstLine="640"/>
      </w:pPr>
      <w:r>
        <w:rPr>
          <w:rFonts w:hint="eastAsia" w:ascii="黑体" w:hAnsi="黑体" w:eastAsia="黑体"/>
          <w:sz w:val="32"/>
          <w:szCs w:val="32"/>
        </w:rPr>
        <w:t>三、部门人员构成</w:t>
      </w:r>
    </w:p>
    <w:p>
      <w:pPr>
        <w:snapToGrid w:val="0"/>
        <w:spacing w:before="100" w:beforeAutospacing="1" w:after="100" w:afterAutospacing="1" w:line="580" w:lineRule="atLeast"/>
        <w:ind w:firstLine="640"/>
      </w:pPr>
      <w:r>
        <w:rPr>
          <w:rFonts w:hint="eastAsia" w:ascii="仿宋_GB2312" w:eastAsia="仿宋_GB2312"/>
          <w:sz w:val="32"/>
          <w:szCs w:val="32"/>
        </w:rPr>
        <w:t>武汉市黄陂区滠口街道办事处总编制人数92人，其中：行政编制45人，事业编制47人(其中：参照公务员法管理0人)。在职实有人数92人，其中：行政45人，事业47人(其中：参照公务员法管理0人)。</w:t>
      </w:r>
    </w:p>
    <w:p>
      <w:pPr>
        <w:snapToGrid w:val="0"/>
        <w:spacing w:before="100" w:beforeAutospacing="1" w:after="100" w:afterAutospacing="1" w:line="580" w:lineRule="atLeast"/>
        <w:ind w:firstLine="640"/>
      </w:pPr>
      <w:r>
        <w:rPr>
          <w:rFonts w:hint="eastAsia" w:ascii="仿宋_GB2312" w:eastAsia="仿宋_GB2312"/>
          <w:sz w:val="32"/>
          <w:szCs w:val="32"/>
        </w:rPr>
        <w:t>离退休人员75人，其中：离休1人，退休74人。</w:t>
      </w:r>
    </w:p>
    <w:p>
      <w:pPr>
        <w:snapToGrid w:val="0"/>
        <w:spacing w:before="100" w:beforeAutospacing="1" w:after="100" w:afterAutospacing="1" w:line="580" w:lineRule="atLeast"/>
        <w:ind w:firstLine="640"/>
      </w:pPr>
      <w:r>
        <w:rPr>
          <w:rFonts w:hint="eastAsia"/>
          <w:sz w:val="32"/>
          <w:szCs w:val="32"/>
        </w:rPr>
        <w:t> </w:t>
      </w:r>
    </w:p>
    <w:p>
      <w:pPr>
        <w:snapToGrid w:val="0"/>
        <w:spacing w:before="100" w:beforeAutospacing="1" w:after="100" w:afterAutospacing="1"/>
      </w:pPr>
      <w:r>
        <w:rPr>
          <w:rFonts w:hint="eastAsia"/>
        </w:rPr>
        <w:t> </w:t>
      </w:r>
    </w:p>
    <w:p>
      <w:pPr>
        <w:snapToGrid w:val="0"/>
        <w:spacing w:before="100" w:beforeAutospacing="1" w:after="100" w:afterAutospacing="1"/>
        <w:jc w:val="center"/>
      </w:pPr>
      <w:r>
        <w:rPr>
          <w:rFonts w:hint="eastAsia"/>
          <w:b/>
          <w:bCs/>
          <w:sz w:val="48"/>
          <w:szCs w:val="48"/>
        </w:rPr>
        <w:t>第二部分  2017年度部门决算表</w:t>
      </w:r>
    </w:p>
    <w:p>
      <w:pPr>
        <w:snapToGrid w:val="0"/>
        <w:spacing w:before="100" w:beforeAutospacing="1" w:after="100" w:afterAutospacing="1"/>
        <w:jc w:val="center"/>
      </w:pPr>
      <w:r>
        <w:rPr>
          <w:rFonts w:hint="eastAsia"/>
          <w:b/>
          <w:bCs/>
          <w:sz w:val="48"/>
          <w:szCs w:val="48"/>
        </w:rPr>
        <w:t>第三部分  武汉市黄陂区滠口街道办事处2017年度部门决算情况说明</w:t>
      </w:r>
    </w:p>
    <w:p>
      <w:pPr>
        <w:snapToGrid w:val="0"/>
        <w:spacing w:before="100" w:beforeAutospacing="1" w:after="100" w:afterAutospacing="1"/>
      </w:pPr>
      <w:r>
        <w:rPr>
          <w:rFonts w:hint="eastAsia"/>
        </w:rPr>
        <w:t> </w:t>
      </w:r>
    </w:p>
    <w:p>
      <w:pPr>
        <w:snapToGrid w:val="0"/>
        <w:spacing w:before="100" w:beforeAutospacing="1" w:after="100" w:afterAutospacing="1"/>
        <w:jc w:val="center"/>
      </w:pPr>
      <w:r>
        <w:rPr>
          <w:rFonts w:hint="eastAsia"/>
        </w:rPr>
        <w:t> </w:t>
      </w:r>
    </w:p>
    <w:p>
      <w:pPr>
        <w:snapToGrid w:val="0"/>
        <w:spacing w:before="100" w:beforeAutospacing="1" w:after="100" w:afterAutospacing="1" w:line="580" w:lineRule="atLeast"/>
        <w:ind w:firstLine="640"/>
      </w:pPr>
      <w:r>
        <w:rPr>
          <w:rFonts w:hint="eastAsia"/>
          <w:sz w:val="32"/>
          <w:szCs w:val="32"/>
        </w:rPr>
        <w:t> </w:t>
      </w:r>
    </w:p>
    <w:p>
      <w:pPr>
        <w:snapToGrid w:val="0"/>
        <w:spacing w:before="100" w:beforeAutospacing="1" w:after="100" w:afterAutospacing="1" w:line="580" w:lineRule="atLeast"/>
        <w:ind w:firstLine="640"/>
      </w:pPr>
      <w:r>
        <w:rPr>
          <w:rFonts w:hint="eastAsia" w:ascii="黑体" w:hAnsi="黑体" w:eastAsia="黑体"/>
          <w:sz w:val="32"/>
          <w:szCs w:val="32"/>
        </w:rPr>
        <w:t>一、2017年度收入支出决算总体情况说明</w:t>
      </w:r>
    </w:p>
    <w:p>
      <w:pPr>
        <w:snapToGrid w:val="0"/>
        <w:spacing w:before="100" w:beforeAutospacing="1" w:after="100" w:afterAutospacing="1" w:line="560" w:lineRule="atLeast"/>
        <w:ind w:firstLine="640"/>
      </w:pPr>
      <w:r>
        <w:rPr>
          <w:rFonts w:hint="eastAsia" w:ascii="仿宋_GB2312" w:eastAsia="仿宋_GB2312"/>
          <w:sz w:val="32"/>
          <w:szCs w:val="32"/>
        </w:rPr>
        <w:t>2017年度收、支总计48,568万元。与2016年相比，收、支总计各增加20,443万元，增长72.69%，主要原因是上级专项补助增加、重点工程及征地拆迁补偿增加等。</w:t>
      </w:r>
    </w:p>
    <w:p>
      <w:pPr>
        <w:spacing w:before="100" w:beforeAutospacing="1" w:after="100" w:afterAutospacing="1"/>
      </w:pPr>
    </w:p>
    <w:p>
      <w:pPr>
        <w:snapToGrid w:val="0"/>
        <w:spacing w:before="100" w:beforeAutospacing="1" w:after="100" w:afterAutospacing="1" w:line="580" w:lineRule="atLeast"/>
        <w:ind w:firstLine="640"/>
      </w:pPr>
      <w:r>
        <w:rPr>
          <w:rFonts w:hint="eastAsia" w:ascii="黑体" w:hAnsi="黑体" w:eastAsia="黑体"/>
          <w:sz w:val="32"/>
          <w:szCs w:val="32"/>
        </w:rPr>
        <w:t>二、2017年度收入决算情况说明</w:t>
      </w:r>
    </w:p>
    <w:p>
      <w:pPr>
        <w:snapToGrid w:val="0"/>
        <w:spacing w:before="100" w:beforeAutospacing="1" w:after="100" w:afterAutospacing="1" w:line="580" w:lineRule="atLeast"/>
        <w:ind w:firstLine="640"/>
      </w:pPr>
      <w:r>
        <w:rPr>
          <w:rFonts w:hint="eastAsia" w:ascii="仿宋_GB2312" w:eastAsia="仿宋_GB2312"/>
          <w:sz w:val="32"/>
          <w:szCs w:val="32"/>
        </w:rPr>
        <w:t>2017年度本年收入合计48,568万元。其中：财政拨款收入48,568万元，占本年收入100.00%。</w:t>
      </w:r>
    </w:p>
    <w:p>
      <w:pPr>
        <w:spacing w:before="100" w:beforeAutospacing="1" w:after="100" w:afterAutospacing="1"/>
      </w:pPr>
    </w:p>
    <w:p>
      <w:pPr>
        <w:snapToGrid w:val="0"/>
        <w:spacing w:before="100" w:beforeAutospacing="1" w:after="100" w:afterAutospacing="1" w:line="580" w:lineRule="atLeast"/>
        <w:ind w:firstLine="640"/>
      </w:pPr>
      <w:r>
        <w:rPr>
          <w:rFonts w:hint="eastAsia" w:ascii="黑体" w:hAnsi="黑体" w:eastAsia="黑体"/>
          <w:sz w:val="32"/>
          <w:szCs w:val="32"/>
        </w:rPr>
        <w:t>三、2017年度支出决算情况说明</w:t>
      </w:r>
    </w:p>
    <w:p>
      <w:pPr>
        <w:snapToGrid w:val="0"/>
        <w:spacing w:before="100" w:beforeAutospacing="1" w:after="100" w:afterAutospacing="1" w:line="580" w:lineRule="atLeast"/>
        <w:ind w:firstLine="640"/>
      </w:pPr>
      <w:r>
        <w:rPr>
          <w:rFonts w:hint="eastAsia" w:ascii="仿宋_GB2312" w:eastAsia="仿宋_GB2312"/>
          <w:sz w:val="32"/>
          <w:szCs w:val="32"/>
        </w:rPr>
        <w:t>2017年度本年支出合计48,568万元。其中：基本支出2,326万元，占本年支出4.79%；项目支出46,242万元，占本年支出95.21%。</w:t>
      </w:r>
    </w:p>
    <w:p>
      <w:pPr>
        <w:spacing w:before="100" w:beforeAutospacing="1" w:after="100" w:afterAutospacing="1"/>
      </w:pPr>
    </w:p>
    <w:p>
      <w:pPr>
        <w:snapToGrid w:val="0"/>
        <w:spacing w:before="100" w:beforeAutospacing="1" w:after="100" w:afterAutospacing="1" w:line="580" w:lineRule="atLeast"/>
        <w:ind w:firstLine="640"/>
      </w:pPr>
      <w:r>
        <w:rPr>
          <w:rFonts w:hint="eastAsia" w:ascii="黑体" w:hAnsi="黑体" w:eastAsia="黑体"/>
          <w:sz w:val="32"/>
          <w:szCs w:val="32"/>
        </w:rPr>
        <w:t>四、2017年度财政拨款收入支出决算总体情况说明</w:t>
      </w:r>
    </w:p>
    <w:p>
      <w:pPr>
        <w:snapToGrid w:val="0"/>
        <w:spacing w:before="100" w:beforeAutospacing="1" w:after="100" w:afterAutospacing="1" w:line="580" w:lineRule="atLeast"/>
        <w:ind w:firstLine="640"/>
      </w:pPr>
      <w:r>
        <w:rPr>
          <w:rFonts w:hint="eastAsia" w:ascii="仿宋_GB2312" w:eastAsia="仿宋_GB2312"/>
          <w:sz w:val="32"/>
          <w:szCs w:val="32"/>
        </w:rPr>
        <w:t>2017年度财政拨款收、支总计48,568万元。与2016年相比，财政拨款收、支总计各增加20,443万元，增长72.69%。主要原因是上级专项补助增加、重点工程及征地拆迁补偿增加等。</w:t>
      </w:r>
    </w:p>
    <w:p>
      <w:pPr>
        <w:spacing w:before="100" w:beforeAutospacing="1" w:after="100" w:afterAutospacing="1"/>
      </w:pPr>
    </w:p>
    <w:p>
      <w:pPr>
        <w:snapToGrid w:val="0"/>
        <w:spacing w:before="100" w:beforeAutospacing="1" w:after="100" w:afterAutospacing="1" w:line="580" w:lineRule="atLeast"/>
        <w:ind w:firstLine="640"/>
      </w:pPr>
      <w:r>
        <w:rPr>
          <w:rFonts w:hint="eastAsia" w:ascii="黑体" w:hAnsi="黑体" w:eastAsia="黑体"/>
          <w:sz w:val="32"/>
          <w:szCs w:val="32"/>
        </w:rPr>
        <w:t>五、2017年度一般公共预算财政拨款支出决算情况说明</w:t>
      </w:r>
    </w:p>
    <w:p>
      <w:pPr>
        <w:snapToGrid w:val="0"/>
        <w:spacing w:before="100" w:beforeAutospacing="1" w:after="100" w:afterAutospacing="1" w:line="580" w:lineRule="atLeast"/>
        <w:ind w:firstLine="640"/>
      </w:pPr>
      <w:r>
        <w:rPr>
          <w:rFonts w:hint="eastAsia" w:ascii="仿宋_GB2312" w:eastAsia="仿宋_GB2312"/>
          <w:sz w:val="32"/>
          <w:szCs w:val="32"/>
        </w:rPr>
        <w:t>（一）财政拨款支出决算总体情况。</w:t>
      </w:r>
    </w:p>
    <w:p>
      <w:pPr>
        <w:snapToGrid w:val="0"/>
        <w:spacing w:before="100" w:beforeAutospacing="1" w:after="100" w:afterAutospacing="1" w:line="560" w:lineRule="atLeast"/>
        <w:ind w:firstLine="640"/>
      </w:pPr>
      <w:r>
        <w:rPr>
          <w:rFonts w:hint="eastAsia" w:ascii="仿宋_GB2312" w:eastAsia="仿宋_GB2312"/>
          <w:sz w:val="32"/>
          <w:szCs w:val="32"/>
        </w:rPr>
        <w:t>2017年度财政拨款支出15,197万元，占本年支出合计的31.29</w:t>
      </w:r>
      <w:r>
        <w:rPr>
          <w:rFonts w:hint="eastAsia"/>
          <w:sz w:val="32"/>
          <w:szCs w:val="32"/>
        </w:rPr>
        <w:t> </w:t>
      </w:r>
      <w:r>
        <w:rPr>
          <w:rFonts w:hint="eastAsia" w:ascii="仿宋_GB2312" w:eastAsia="仿宋_GB2312"/>
          <w:sz w:val="32"/>
          <w:szCs w:val="32"/>
        </w:rPr>
        <w:t>%。与2016年相比，财政拨款支出增加1,335万元，增长9.63%。主要原因是上级专项补助增加及各项重点工程项目的集中推进。</w:t>
      </w:r>
    </w:p>
    <w:p>
      <w:pPr>
        <w:snapToGrid w:val="0"/>
        <w:spacing w:before="100" w:beforeAutospacing="1" w:after="100" w:afterAutospacing="1" w:line="580" w:lineRule="atLeast"/>
        <w:ind w:firstLine="640"/>
      </w:pPr>
      <w:r>
        <w:rPr>
          <w:rFonts w:hint="eastAsia" w:ascii="仿宋_GB2312" w:eastAsia="仿宋_GB2312"/>
          <w:sz w:val="32"/>
          <w:szCs w:val="32"/>
        </w:rPr>
        <w:t>（二）财政拨款支出决算结构情况。</w:t>
      </w:r>
    </w:p>
    <w:p>
      <w:pPr>
        <w:snapToGrid w:val="0"/>
        <w:spacing w:before="100" w:beforeAutospacing="1" w:after="100" w:afterAutospacing="1" w:line="580" w:lineRule="atLeast"/>
        <w:ind w:firstLine="640"/>
      </w:pPr>
      <w:r>
        <w:rPr>
          <w:rFonts w:hint="eastAsia"/>
          <w:sz w:val="32"/>
          <w:szCs w:val="32"/>
        </w:rPr>
        <w:t> </w:t>
      </w:r>
      <w:r>
        <w:rPr>
          <w:rFonts w:hint="eastAsia" w:ascii="仿宋_GB2312" w:eastAsia="仿宋_GB2312"/>
          <w:sz w:val="32"/>
          <w:szCs w:val="32"/>
        </w:rPr>
        <w:t xml:space="preserve">2017年度财政拨款支出15,197万元，主要用于以下方面：一般公共服务（类）支出1,666万元，占10.96 </w:t>
      </w:r>
      <w:r>
        <w:rPr>
          <w:rFonts w:hint="eastAsia"/>
          <w:sz w:val="32"/>
          <w:szCs w:val="32"/>
        </w:rPr>
        <w:t> </w:t>
      </w:r>
      <w:r>
        <w:rPr>
          <w:rFonts w:hint="eastAsia" w:ascii="仿宋_GB2312" w:eastAsia="仿宋_GB2312"/>
          <w:sz w:val="32"/>
          <w:szCs w:val="32"/>
        </w:rPr>
        <w:t>%；教育支出1万元，占0.01</w:t>
      </w:r>
      <w:r>
        <w:rPr>
          <w:rFonts w:hint="eastAsia"/>
          <w:sz w:val="32"/>
          <w:szCs w:val="32"/>
        </w:rPr>
        <w:t> </w:t>
      </w:r>
      <w:r>
        <w:rPr>
          <w:rFonts w:hint="eastAsia" w:ascii="仿宋_GB2312" w:eastAsia="仿宋_GB2312"/>
          <w:sz w:val="32"/>
          <w:szCs w:val="32"/>
        </w:rPr>
        <w:t>%；文化体育与传媒支出16万元，占0.11</w:t>
      </w:r>
      <w:r>
        <w:rPr>
          <w:rFonts w:hint="eastAsia"/>
          <w:sz w:val="32"/>
          <w:szCs w:val="32"/>
        </w:rPr>
        <w:t> </w:t>
      </w:r>
      <w:r>
        <w:rPr>
          <w:rFonts w:hint="eastAsia" w:ascii="仿宋_GB2312" w:eastAsia="仿宋_GB2312"/>
          <w:sz w:val="32"/>
          <w:szCs w:val="32"/>
        </w:rPr>
        <w:t>%；社会保障和就业支出448万元，占2.95</w:t>
      </w:r>
      <w:r>
        <w:rPr>
          <w:rFonts w:hint="eastAsia"/>
          <w:sz w:val="32"/>
          <w:szCs w:val="32"/>
        </w:rPr>
        <w:t> </w:t>
      </w:r>
      <w:r>
        <w:rPr>
          <w:rFonts w:hint="eastAsia" w:ascii="仿宋_GB2312" w:eastAsia="仿宋_GB2312"/>
          <w:sz w:val="32"/>
          <w:szCs w:val="32"/>
        </w:rPr>
        <w:t>%；医疗卫生与计划生育支出214万元，占1.41</w:t>
      </w:r>
      <w:r>
        <w:rPr>
          <w:rFonts w:hint="eastAsia"/>
          <w:sz w:val="32"/>
          <w:szCs w:val="32"/>
        </w:rPr>
        <w:t> </w:t>
      </w:r>
      <w:r>
        <w:rPr>
          <w:rFonts w:hint="eastAsia" w:ascii="仿宋_GB2312" w:eastAsia="仿宋_GB2312"/>
          <w:sz w:val="32"/>
          <w:szCs w:val="32"/>
        </w:rPr>
        <w:t>%；城乡社区支出10,445万元，占68.73</w:t>
      </w:r>
      <w:r>
        <w:rPr>
          <w:rFonts w:hint="eastAsia"/>
          <w:sz w:val="32"/>
          <w:szCs w:val="32"/>
        </w:rPr>
        <w:t> </w:t>
      </w:r>
      <w:r>
        <w:rPr>
          <w:rFonts w:hint="eastAsia" w:ascii="仿宋_GB2312" w:eastAsia="仿宋_GB2312"/>
          <w:sz w:val="32"/>
          <w:szCs w:val="32"/>
        </w:rPr>
        <w:t>%；农林水支出2,097万元，占13.80</w:t>
      </w:r>
      <w:r>
        <w:rPr>
          <w:rFonts w:hint="eastAsia"/>
          <w:sz w:val="32"/>
          <w:szCs w:val="32"/>
        </w:rPr>
        <w:t> </w:t>
      </w:r>
      <w:r>
        <w:rPr>
          <w:rFonts w:hint="eastAsia" w:ascii="仿宋_GB2312" w:eastAsia="仿宋_GB2312"/>
          <w:sz w:val="32"/>
          <w:szCs w:val="32"/>
        </w:rPr>
        <w:t>%；国土海洋气象等支出166万元，占1.09</w:t>
      </w:r>
      <w:r>
        <w:rPr>
          <w:rFonts w:hint="eastAsia"/>
          <w:sz w:val="32"/>
          <w:szCs w:val="32"/>
        </w:rPr>
        <w:t> </w:t>
      </w:r>
      <w:r>
        <w:rPr>
          <w:rFonts w:hint="eastAsia" w:ascii="仿宋_GB2312" w:eastAsia="仿宋_GB2312"/>
          <w:sz w:val="32"/>
          <w:szCs w:val="32"/>
        </w:rPr>
        <w:t>%；住房保障支出144万元，占0.95</w:t>
      </w:r>
      <w:r>
        <w:rPr>
          <w:rFonts w:hint="eastAsia"/>
          <w:sz w:val="32"/>
          <w:szCs w:val="32"/>
        </w:rPr>
        <w:t> </w:t>
      </w:r>
      <w:r>
        <w:rPr>
          <w:rFonts w:hint="eastAsia" w:ascii="仿宋_GB2312" w:eastAsia="仿宋_GB2312"/>
          <w:sz w:val="32"/>
          <w:szCs w:val="32"/>
        </w:rPr>
        <w:t>%。</w:t>
      </w:r>
    </w:p>
    <w:p>
      <w:pPr>
        <w:snapToGrid w:val="0"/>
        <w:spacing w:before="100" w:beforeAutospacing="1" w:after="100" w:afterAutospacing="1" w:line="580" w:lineRule="atLeast"/>
        <w:ind w:firstLine="640"/>
      </w:pPr>
      <w:r>
        <w:rPr>
          <w:rFonts w:hint="eastAsia" w:ascii="仿宋_GB2312" w:eastAsia="仿宋_GB2312"/>
          <w:sz w:val="32"/>
          <w:szCs w:val="32"/>
        </w:rPr>
        <w:t>（三）财政拨款支出决算具体情况。</w:t>
      </w:r>
    </w:p>
    <w:p>
      <w:pPr>
        <w:snapToGrid w:val="0"/>
        <w:spacing w:before="100" w:beforeAutospacing="1" w:after="100" w:afterAutospacing="1" w:line="580" w:lineRule="atLeast"/>
        <w:ind w:firstLine="640"/>
      </w:pPr>
      <w:r>
        <w:rPr>
          <w:rFonts w:hint="eastAsia" w:ascii="仿宋_GB2312" w:eastAsia="仿宋_GB2312"/>
          <w:sz w:val="32"/>
          <w:szCs w:val="32"/>
        </w:rPr>
        <w:t>2017年一般公共预算财政拨款支出年度预算为15,197万元(包括年初部门预算、基本建设等专项资金、上级下达的专项转移支付资金及年初结转和结余资金等)，支出决算为15,197万元，完成年度预算的100.00%。其中：基本支出2,326万元，项目支出12,871万元。项目支出主要用于一般公共服务</w:t>
      </w:r>
      <w:r>
        <w:rPr>
          <w:rFonts w:hint="eastAsia"/>
          <w:sz w:val="32"/>
          <w:szCs w:val="32"/>
        </w:rPr>
        <w:t>198</w:t>
      </w:r>
      <w:r>
        <w:rPr>
          <w:rFonts w:hint="eastAsia" w:ascii="仿宋_GB2312" w:eastAsia="仿宋_GB2312"/>
          <w:sz w:val="32"/>
          <w:szCs w:val="32"/>
        </w:rPr>
        <w:t>万元，主要是用于乡镇运转以及围绕全区经济和社会发展及区委、区政府的中心工作，搞好社区(村)服务，发展壮大街道经济，搞好社会治安综合治理管理工作，维护社会稳定；教育支出1万元，</w:t>
      </w:r>
      <w:r>
        <w:rPr>
          <w:rFonts w:hint="eastAsia"/>
          <w:b/>
          <w:color w:val="333333"/>
          <w:sz w:val="32"/>
          <w:szCs w:val="32"/>
        </w:rPr>
        <w:t>主要用于教育精细化管理工作</w:t>
      </w:r>
      <w:r>
        <w:rPr>
          <w:rFonts w:hint="eastAsia" w:ascii="仿宋_GB2312" w:eastAsia="仿宋_GB2312"/>
          <w:sz w:val="32"/>
          <w:szCs w:val="32"/>
        </w:rPr>
        <w:t>；</w:t>
      </w:r>
      <w:r>
        <w:rPr>
          <w:rFonts w:hint="eastAsia"/>
          <w:b/>
          <w:color w:val="333333"/>
          <w:sz w:val="32"/>
          <w:szCs w:val="32"/>
        </w:rPr>
        <w:t>文化体育与传媒项目16万元，主要用于</w:t>
      </w:r>
      <w:r>
        <w:rPr>
          <w:rFonts w:hint="eastAsia" w:ascii="仿宋_GB2312" w:eastAsia="仿宋_GB2312"/>
          <w:sz w:val="32"/>
          <w:szCs w:val="32"/>
        </w:rPr>
        <w:t>1、基层文化建设和综合文化站免费开放工作推动文体活动经常化，</w:t>
      </w:r>
      <w:r>
        <w:rPr>
          <w:rFonts w:hint="eastAsia" w:ascii="仿宋_GB2312" w:eastAsia="仿宋_GB2312" w:cs="Arial"/>
          <w:color w:val="333333"/>
          <w:sz w:val="32"/>
          <w:szCs w:val="32"/>
        </w:rPr>
        <w:t>让农民的业余文化生活得到满足和提升</w:t>
      </w:r>
      <w:r>
        <w:rPr>
          <w:rFonts w:hint="eastAsia" w:ascii="仿宋_GB2312" w:eastAsia="仿宋_GB2312"/>
          <w:sz w:val="32"/>
          <w:szCs w:val="32"/>
        </w:rPr>
        <w:t>，宏扬了民族文化，丰富农村文化生活，激发全乡人民创业热情；2、解决了文体服务中心人员服务经费正常运转；</w:t>
      </w:r>
      <w:r>
        <w:rPr>
          <w:rFonts w:hint="eastAsia"/>
          <w:b/>
          <w:color w:val="333333"/>
          <w:sz w:val="32"/>
          <w:szCs w:val="32"/>
        </w:rPr>
        <w:t>医疗卫生与计划生育项目97万元，主要用于</w:t>
      </w:r>
      <w:r>
        <w:rPr>
          <w:rFonts w:hint="eastAsia" w:ascii="仿宋_GB2312" w:eastAsia="仿宋_GB2312"/>
          <w:sz w:val="32"/>
          <w:szCs w:val="32"/>
        </w:rPr>
        <w:t>落实计划生育政策，加强了辖区城市育龄妇女和流动人口计划生育的科学化管理，做好重点育龄对象的访视检测工作，杜绝计划外生育，并做好妇女儿童保健及全民健康教育以及65岁老人免费体检等工作; 城乡社区项目支出10445万元，主要用于小城镇建设以及改善街道环境卫生等;</w:t>
      </w:r>
      <w:r>
        <w:rPr>
          <w:rFonts w:hint="eastAsia"/>
          <w:color w:val="333333"/>
          <w:sz w:val="32"/>
          <w:szCs w:val="32"/>
        </w:rPr>
        <w:t xml:space="preserve"> </w:t>
      </w:r>
      <w:r>
        <w:rPr>
          <w:rFonts w:hint="eastAsia"/>
          <w:b/>
          <w:color w:val="333333"/>
          <w:sz w:val="32"/>
          <w:szCs w:val="32"/>
        </w:rPr>
        <w:t>农林水项目支出1948万元，主要成效：</w:t>
      </w:r>
      <w:r>
        <w:rPr>
          <w:rFonts w:hint="eastAsia" w:ascii="仿宋_GB2312" w:eastAsia="仿宋_GB2312"/>
          <w:sz w:val="32"/>
          <w:szCs w:val="32"/>
        </w:rPr>
        <w:t>1、改善了全街行政村农田灌溉用水、人畜生活用水的实际困难；2、改善了全街行政村的安全生产和交通出行方便；3、解决了农业综合服务中心人员服务经费正常运转；4、村级转移支付资金解决村级工作正常运转；</w:t>
      </w:r>
      <w:r>
        <w:rPr>
          <w:rFonts w:hint="eastAsia"/>
          <w:b/>
          <w:color w:val="333333"/>
          <w:sz w:val="32"/>
          <w:szCs w:val="32"/>
        </w:rPr>
        <w:t>国土资源事务166万元，主要成效：</w:t>
      </w:r>
      <w:r>
        <w:rPr>
          <w:rFonts w:hint="eastAsia" w:ascii="仿宋_GB2312" w:eastAsia="仿宋_GB2312"/>
          <w:sz w:val="32"/>
          <w:szCs w:val="32"/>
        </w:rPr>
        <w:t>1、落实了街道</w:t>
      </w:r>
      <w:r>
        <w:rPr>
          <w:rFonts w:hint="eastAsia" w:ascii="仿宋_GB2312" w:eastAsia="仿宋_GB2312" w:cs="Arial"/>
          <w:color w:val="333333"/>
          <w:sz w:val="32"/>
          <w:szCs w:val="32"/>
        </w:rPr>
        <w:t>土地资源调查、土地分等定级，</w:t>
      </w:r>
      <w:r>
        <w:rPr>
          <w:rFonts w:hint="eastAsia" w:ascii="仿宋_GB2312" w:eastAsia="仿宋_GB2312" w:cs="Arial"/>
          <w:color w:val="333333"/>
          <w:spacing w:val="-11"/>
          <w:sz w:val="32"/>
          <w:szCs w:val="32"/>
        </w:rPr>
        <w:t>土地登记、土地统计、地籍档案管理、土地证书核发和土地动态监测管理工作；</w:t>
      </w:r>
      <w:r>
        <w:rPr>
          <w:rFonts w:hint="eastAsia" w:ascii="仿宋_GB2312" w:eastAsia="仿宋_GB2312"/>
          <w:sz w:val="32"/>
          <w:szCs w:val="32"/>
        </w:rPr>
        <w:t>2、解决了国土资源服务中心人员服务经费以及机构正常运转。</w:t>
      </w:r>
    </w:p>
    <w:p>
      <w:pPr>
        <w:snapToGrid w:val="0"/>
        <w:spacing w:before="100" w:beforeAutospacing="1" w:after="100" w:afterAutospacing="1" w:line="580" w:lineRule="atLeast"/>
        <w:ind w:firstLine="640"/>
      </w:pPr>
      <w:r>
        <w:rPr>
          <w:rFonts w:hint="eastAsia" w:ascii="楷体_GB2312" w:eastAsia="楷体_GB2312"/>
          <w:sz w:val="32"/>
          <w:szCs w:val="32"/>
        </w:rPr>
        <w:t>1.</w:t>
      </w:r>
      <w:r>
        <w:rPr>
          <w:rFonts w:hint="eastAsia"/>
          <w:b/>
          <w:sz w:val="32"/>
          <w:szCs w:val="32"/>
        </w:rPr>
        <w:t>一般公共服务支出</w:t>
      </w:r>
      <w:r>
        <w:rPr>
          <w:rFonts w:hint="eastAsia" w:ascii="楷体_GB2312" w:eastAsia="楷体_GB2312"/>
          <w:b/>
          <w:sz w:val="32"/>
          <w:szCs w:val="32"/>
        </w:rPr>
        <w:t>(</w:t>
      </w:r>
      <w:r>
        <w:rPr>
          <w:rFonts w:hint="eastAsia"/>
          <w:b/>
          <w:sz w:val="32"/>
          <w:szCs w:val="32"/>
        </w:rPr>
        <w:t>类</w:t>
      </w:r>
      <w:r>
        <w:rPr>
          <w:rFonts w:hint="eastAsia" w:ascii="楷体_GB2312" w:eastAsia="楷体_GB2312"/>
          <w:b/>
          <w:sz w:val="32"/>
          <w:szCs w:val="32"/>
        </w:rPr>
        <w:t>)</w:t>
      </w:r>
      <w:r>
        <w:rPr>
          <w:rFonts w:hint="eastAsia"/>
          <w:sz w:val="32"/>
          <w:szCs w:val="32"/>
        </w:rPr>
        <w:t>。</w:t>
      </w:r>
      <w:r>
        <w:rPr>
          <w:rFonts w:hint="eastAsia" w:ascii="仿宋_GB2312" w:eastAsia="仿宋_GB2312"/>
          <w:sz w:val="32"/>
          <w:szCs w:val="32"/>
        </w:rPr>
        <w:t>年度预算为1,666万元，支出决算为1,666万元，完成年度预算的100%。</w:t>
      </w:r>
    </w:p>
    <w:p>
      <w:pPr>
        <w:snapToGrid w:val="0"/>
        <w:spacing w:before="100" w:beforeAutospacing="1" w:after="100" w:afterAutospacing="1" w:line="580" w:lineRule="atLeast"/>
        <w:ind w:firstLine="640"/>
      </w:pPr>
      <w:r>
        <w:rPr>
          <w:rFonts w:hint="eastAsia" w:ascii="楷体_GB2312" w:eastAsia="楷体_GB2312"/>
          <w:sz w:val="32"/>
          <w:szCs w:val="32"/>
        </w:rPr>
        <w:t>2.</w:t>
      </w:r>
      <w:r>
        <w:rPr>
          <w:rFonts w:hint="eastAsia"/>
          <w:b/>
          <w:sz w:val="32"/>
          <w:szCs w:val="32"/>
        </w:rPr>
        <w:t>教育支出</w:t>
      </w:r>
      <w:r>
        <w:rPr>
          <w:rFonts w:hint="eastAsia" w:ascii="楷体_GB2312" w:eastAsia="楷体_GB2312"/>
          <w:b/>
          <w:sz w:val="32"/>
          <w:szCs w:val="32"/>
        </w:rPr>
        <w:t>(</w:t>
      </w:r>
      <w:r>
        <w:rPr>
          <w:rFonts w:hint="eastAsia"/>
          <w:b/>
          <w:sz w:val="32"/>
          <w:szCs w:val="32"/>
        </w:rPr>
        <w:t>类</w:t>
      </w:r>
      <w:r>
        <w:rPr>
          <w:rFonts w:hint="eastAsia" w:ascii="楷体_GB2312" w:eastAsia="楷体_GB2312"/>
          <w:b/>
          <w:sz w:val="32"/>
          <w:szCs w:val="32"/>
        </w:rPr>
        <w:t>)</w:t>
      </w:r>
      <w:r>
        <w:rPr>
          <w:rFonts w:hint="eastAsia"/>
          <w:sz w:val="32"/>
          <w:szCs w:val="32"/>
        </w:rPr>
        <w:t>。</w:t>
      </w:r>
      <w:r>
        <w:rPr>
          <w:rFonts w:hint="eastAsia" w:ascii="仿宋_GB2312" w:eastAsia="仿宋_GB2312"/>
          <w:sz w:val="32"/>
          <w:szCs w:val="32"/>
        </w:rPr>
        <w:t>年度预算为1万元，支出决算为1万元，完成年度预算的100.00%。</w:t>
      </w:r>
    </w:p>
    <w:p>
      <w:pPr>
        <w:snapToGrid w:val="0"/>
        <w:spacing w:before="100" w:beforeAutospacing="1" w:after="100" w:afterAutospacing="1" w:line="580" w:lineRule="atLeast"/>
        <w:ind w:firstLine="640"/>
      </w:pPr>
      <w:r>
        <w:rPr>
          <w:rFonts w:hint="eastAsia" w:ascii="楷体_GB2312" w:eastAsia="楷体_GB2312"/>
          <w:sz w:val="32"/>
          <w:szCs w:val="32"/>
        </w:rPr>
        <w:t>3.</w:t>
      </w:r>
      <w:r>
        <w:rPr>
          <w:rFonts w:hint="eastAsia"/>
          <w:b/>
          <w:sz w:val="32"/>
          <w:szCs w:val="32"/>
        </w:rPr>
        <w:t>文化体育与传媒支出</w:t>
      </w:r>
      <w:r>
        <w:rPr>
          <w:rFonts w:hint="eastAsia" w:ascii="楷体_GB2312" w:eastAsia="楷体_GB2312"/>
          <w:b/>
          <w:sz w:val="32"/>
          <w:szCs w:val="32"/>
        </w:rPr>
        <w:t>(</w:t>
      </w:r>
      <w:r>
        <w:rPr>
          <w:rFonts w:hint="eastAsia"/>
          <w:b/>
          <w:sz w:val="32"/>
          <w:szCs w:val="32"/>
        </w:rPr>
        <w:t>类</w:t>
      </w:r>
      <w:r>
        <w:rPr>
          <w:rFonts w:hint="eastAsia" w:ascii="楷体_GB2312" w:eastAsia="楷体_GB2312"/>
          <w:b/>
          <w:sz w:val="32"/>
          <w:szCs w:val="32"/>
        </w:rPr>
        <w:t>)</w:t>
      </w:r>
      <w:r>
        <w:rPr>
          <w:rFonts w:hint="eastAsia"/>
          <w:b/>
          <w:sz w:val="32"/>
          <w:szCs w:val="32"/>
        </w:rPr>
        <w:t>。</w:t>
      </w:r>
      <w:r>
        <w:rPr>
          <w:rFonts w:hint="eastAsia" w:ascii="仿宋_GB2312" w:eastAsia="仿宋_GB2312"/>
          <w:sz w:val="32"/>
          <w:szCs w:val="32"/>
        </w:rPr>
        <w:t>年度预算为16万元，支出决算为16万元，完成年度预算的100%。</w:t>
      </w:r>
    </w:p>
    <w:p>
      <w:pPr>
        <w:snapToGrid w:val="0"/>
        <w:spacing w:before="100" w:beforeAutospacing="1" w:after="100" w:afterAutospacing="1" w:line="580" w:lineRule="atLeast"/>
        <w:ind w:firstLine="640"/>
      </w:pPr>
      <w:r>
        <w:rPr>
          <w:rFonts w:hint="eastAsia" w:ascii="楷体_GB2312" w:eastAsia="楷体_GB2312"/>
          <w:sz w:val="32"/>
          <w:szCs w:val="32"/>
        </w:rPr>
        <w:t>4.</w:t>
      </w:r>
      <w:r>
        <w:rPr>
          <w:rFonts w:hint="eastAsia"/>
          <w:b/>
          <w:sz w:val="32"/>
          <w:szCs w:val="32"/>
        </w:rPr>
        <w:t>社会保障和就业支出</w:t>
      </w:r>
      <w:r>
        <w:rPr>
          <w:rFonts w:hint="eastAsia" w:ascii="楷体_GB2312" w:eastAsia="楷体_GB2312"/>
          <w:b/>
          <w:sz w:val="32"/>
          <w:szCs w:val="32"/>
        </w:rPr>
        <w:t>(</w:t>
      </w:r>
      <w:r>
        <w:rPr>
          <w:rFonts w:hint="eastAsia"/>
          <w:b/>
          <w:sz w:val="32"/>
          <w:szCs w:val="32"/>
        </w:rPr>
        <w:t>类</w:t>
      </w:r>
      <w:r>
        <w:rPr>
          <w:rFonts w:hint="eastAsia" w:ascii="楷体_GB2312" w:eastAsia="楷体_GB2312"/>
          <w:b/>
          <w:sz w:val="32"/>
          <w:szCs w:val="32"/>
        </w:rPr>
        <w:t>)</w:t>
      </w:r>
      <w:r>
        <w:rPr>
          <w:rFonts w:hint="eastAsia"/>
          <w:sz w:val="32"/>
          <w:szCs w:val="32"/>
        </w:rPr>
        <w:t>。</w:t>
      </w:r>
      <w:r>
        <w:rPr>
          <w:rFonts w:hint="eastAsia" w:ascii="仿宋_GB2312" w:eastAsia="仿宋_GB2312"/>
          <w:sz w:val="32"/>
          <w:szCs w:val="32"/>
        </w:rPr>
        <w:t>年度预算为447万元，支出决算为448万元，完成年度预算的100.04%。</w:t>
      </w:r>
    </w:p>
    <w:p>
      <w:pPr>
        <w:snapToGrid w:val="0"/>
        <w:spacing w:before="100" w:beforeAutospacing="1" w:after="100" w:afterAutospacing="1" w:line="580" w:lineRule="atLeast"/>
        <w:ind w:firstLine="640"/>
      </w:pPr>
      <w:r>
        <w:rPr>
          <w:rFonts w:hint="eastAsia" w:ascii="楷体_GB2312" w:eastAsia="楷体_GB2312"/>
          <w:sz w:val="32"/>
          <w:szCs w:val="32"/>
        </w:rPr>
        <w:t>5.</w:t>
      </w:r>
      <w:r>
        <w:rPr>
          <w:rFonts w:hint="eastAsia"/>
          <w:b/>
          <w:sz w:val="32"/>
          <w:szCs w:val="32"/>
        </w:rPr>
        <w:t>医疗卫生与计划生育支出</w:t>
      </w:r>
      <w:r>
        <w:rPr>
          <w:rFonts w:hint="eastAsia" w:ascii="楷体_GB2312" w:eastAsia="楷体_GB2312"/>
          <w:b/>
          <w:sz w:val="32"/>
          <w:szCs w:val="32"/>
        </w:rPr>
        <w:t>(</w:t>
      </w:r>
      <w:r>
        <w:rPr>
          <w:rFonts w:hint="eastAsia"/>
          <w:b/>
          <w:sz w:val="32"/>
          <w:szCs w:val="32"/>
        </w:rPr>
        <w:t>类</w:t>
      </w:r>
      <w:r>
        <w:rPr>
          <w:rFonts w:hint="eastAsia" w:ascii="楷体_GB2312" w:eastAsia="楷体_GB2312"/>
          <w:b/>
          <w:sz w:val="32"/>
          <w:szCs w:val="32"/>
        </w:rPr>
        <w:t>)</w:t>
      </w:r>
      <w:r>
        <w:rPr>
          <w:rFonts w:hint="eastAsia"/>
          <w:b/>
          <w:sz w:val="32"/>
          <w:szCs w:val="32"/>
        </w:rPr>
        <w:t>。</w:t>
      </w:r>
      <w:r>
        <w:rPr>
          <w:rFonts w:hint="eastAsia" w:ascii="仿宋_GB2312" w:eastAsia="仿宋_GB2312"/>
          <w:sz w:val="32"/>
          <w:szCs w:val="32"/>
        </w:rPr>
        <w:t>年度预算为213万元，支出决算为214万元，完成年度预算的100.09%。</w:t>
      </w:r>
    </w:p>
    <w:p>
      <w:pPr>
        <w:snapToGrid w:val="0"/>
        <w:spacing w:before="100" w:beforeAutospacing="1" w:after="100" w:afterAutospacing="1" w:line="580" w:lineRule="atLeast"/>
        <w:ind w:firstLine="640"/>
      </w:pPr>
      <w:r>
        <w:rPr>
          <w:rFonts w:hint="eastAsia" w:ascii="楷体_GB2312" w:eastAsia="楷体_GB2312"/>
          <w:sz w:val="32"/>
          <w:szCs w:val="32"/>
        </w:rPr>
        <w:t>6.</w:t>
      </w:r>
      <w:r>
        <w:rPr>
          <w:rFonts w:hint="eastAsia"/>
          <w:b/>
          <w:sz w:val="32"/>
          <w:szCs w:val="32"/>
        </w:rPr>
        <w:t>城乡社区支出</w:t>
      </w:r>
      <w:r>
        <w:rPr>
          <w:rFonts w:hint="eastAsia" w:ascii="楷体_GB2312" w:eastAsia="楷体_GB2312"/>
          <w:b/>
          <w:sz w:val="32"/>
          <w:szCs w:val="32"/>
        </w:rPr>
        <w:t>(</w:t>
      </w:r>
      <w:r>
        <w:rPr>
          <w:rFonts w:hint="eastAsia"/>
          <w:b/>
          <w:sz w:val="32"/>
          <w:szCs w:val="32"/>
        </w:rPr>
        <w:t>类</w:t>
      </w:r>
      <w:r>
        <w:rPr>
          <w:rFonts w:hint="eastAsia" w:ascii="楷体_GB2312" w:eastAsia="楷体_GB2312"/>
          <w:b/>
          <w:sz w:val="32"/>
          <w:szCs w:val="32"/>
        </w:rPr>
        <w:t>)</w:t>
      </w:r>
      <w:r>
        <w:rPr>
          <w:rFonts w:hint="eastAsia"/>
          <w:b/>
          <w:sz w:val="32"/>
          <w:szCs w:val="32"/>
        </w:rPr>
        <w:t>。</w:t>
      </w:r>
      <w:r>
        <w:rPr>
          <w:rFonts w:hint="eastAsia" w:ascii="仿宋_GB2312" w:eastAsia="仿宋_GB2312"/>
          <w:sz w:val="32"/>
          <w:szCs w:val="32"/>
        </w:rPr>
        <w:t>年度预算为10,445万元，支出决算为10,445万元，完成年度预算的100.00%。</w:t>
      </w:r>
    </w:p>
    <w:p>
      <w:pPr>
        <w:snapToGrid w:val="0"/>
        <w:spacing w:before="100" w:beforeAutospacing="1" w:after="100" w:afterAutospacing="1" w:line="580" w:lineRule="atLeast"/>
        <w:ind w:firstLine="640"/>
      </w:pPr>
      <w:r>
        <w:rPr>
          <w:rFonts w:hint="eastAsia" w:ascii="楷体_GB2312" w:eastAsia="楷体_GB2312"/>
          <w:sz w:val="32"/>
          <w:szCs w:val="32"/>
        </w:rPr>
        <w:t>7.</w:t>
      </w:r>
      <w:r>
        <w:rPr>
          <w:rFonts w:hint="eastAsia"/>
          <w:b/>
          <w:sz w:val="32"/>
          <w:szCs w:val="32"/>
        </w:rPr>
        <w:t>农林水支出</w:t>
      </w:r>
      <w:r>
        <w:rPr>
          <w:rFonts w:hint="eastAsia" w:ascii="楷体_GB2312" w:eastAsia="楷体_GB2312"/>
          <w:b/>
          <w:sz w:val="32"/>
          <w:szCs w:val="32"/>
        </w:rPr>
        <w:t>(</w:t>
      </w:r>
      <w:r>
        <w:rPr>
          <w:rFonts w:hint="eastAsia"/>
          <w:b/>
          <w:sz w:val="32"/>
          <w:szCs w:val="32"/>
        </w:rPr>
        <w:t>类</w:t>
      </w:r>
      <w:r>
        <w:rPr>
          <w:rFonts w:hint="eastAsia" w:ascii="楷体_GB2312" w:eastAsia="楷体_GB2312"/>
          <w:b/>
          <w:sz w:val="32"/>
          <w:szCs w:val="32"/>
        </w:rPr>
        <w:t>)</w:t>
      </w:r>
      <w:r>
        <w:rPr>
          <w:rFonts w:hint="eastAsia"/>
          <w:b/>
          <w:sz w:val="32"/>
          <w:szCs w:val="32"/>
        </w:rPr>
        <w:t>。</w:t>
      </w:r>
      <w:r>
        <w:rPr>
          <w:rFonts w:hint="eastAsia" w:ascii="仿宋_GB2312" w:eastAsia="仿宋_GB2312"/>
          <w:sz w:val="32"/>
          <w:szCs w:val="32"/>
        </w:rPr>
        <w:t>年度预算为2,097万元，支出决算为2,097万元，完成年度预算的99.98%。</w:t>
      </w:r>
    </w:p>
    <w:p>
      <w:pPr>
        <w:snapToGrid w:val="0"/>
        <w:spacing w:before="100" w:beforeAutospacing="1" w:after="100" w:afterAutospacing="1" w:line="580" w:lineRule="atLeast"/>
        <w:ind w:firstLine="640"/>
      </w:pPr>
      <w:r>
        <w:rPr>
          <w:rFonts w:hint="eastAsia" w:ascii="楷体_GB2312" w:eastAsia="楷体_GB2312"/>
          <w:sz w:val="32"/>
          <w:szCs w:val="32"/>
        </w:rPr>
        <w:t>8.</w:t>
      </w:r>
      <w:r>
        <w:rPr>
          <w:rFonts w:hint="eastAsia"/>
          <w:b/>
          <w:sz w:val="32"/>
          <w:szCs w:val="32"/>
        </w:rPr>
        <w:t>国土海洋气象等支出</w:t>
      </w:r>
      <w:r>
        <w:rPr>
          <w:rFonts w:hint="eastAsia" w:ascii="楷体_GB2312" w:eastAsia="楷体_GB2312"/>
          <w:b/>
          <w:sz w:val="32"/>
          <w:szCs w:val="32"/>
        </w:rPr>
        <w:t>(</w:t>
      </w:r>
      <w:r>
        <w:rPr>
          <w:rFonts w:hint="eastAsia"/>
          <w:b/>
          <w:sz w:val="32"/>
          <w:szCs w:val="32"/>
        </w:rPr>
        <w:t>类</w:t>
      </w:r>
      <w:r>
        <w:rPr>
          <w:rFonts w:hint="eastAsia" w:ascii="楷体_GB2312" w:eastAsia="楷体_GB2312"/>
          <w:b/>
          <w:sz w:val="32"/>
          <w:szCs w:val="32"/>
        </w:rPr>
        <w:t>)</w:t>
      </w:r>
      <w:r>
        <w:rPr>
          <w:rFonts w:hint="eastAsia"/>
          <w:b/>
          <w:sz w:val="32"/>
          <w:szCs w:val="32"/>
        </w:rPr>
        <w:t>。</w:t>
      </w:r>
      <w:r>
        <w:rPr>
          <w:rFonts w:hint="eastAsia" w:ascii="仿宋_GB2312" w:eastAsia="仿宋_GB2312"/>
          <w:sz w:val="32"/>
          <w:szCs w:val="32"/>
        </w:rPr>
        <w:t>年度预算为166万元，支出决算为166万元，完成年度预算的99.96%。</w:t>
      </w:r>
    </w:p>
    <w:p>
      <w:pPr>
        <w:snapToGrid w:val="0"/>
        <w:spacing w:before="100" w:beforeAutospacing="1" w:after="100" w:afterAutospacing="1" w:line="580" w:lineRule="atLeast"/>
        <w:ind w:firstLine="640"/>
      </w:pPr>
      <w:r>
        <w:rPr>
          <w:rFonts w:hint="eastAsia" w:ascii="楷体_GB2312" w:eastAsia="楷体_GB2312"/>
          <w:sz w:val="32"/>
          <w:szCs w:val="32"/>
        </w:rPr>
        <w:t>9.</w:t>
      </w:r>
      <w:r>
        <w:rPr>
          <w:rFonts w:hint="eastAsia"/>
          <w:b/>
          <w:sz w:val="32"/>
          <w:szCs w:val="32"/>
        </w:rPr>
        <w:t>住房保障支出</w:t>
      </w:r>
      <w:r>
        <w:rPr>
          <w:rFonts w:hint="eastAsia" w:ascii="楷体_GB2312" w:eastAsia="楷体_GB2312"/>
          <w:b/>
          <w:sz w:val="32"/>
          <w:szCs w:val="32"/>
        </w:rPr>
        <w:t>(</w:t>
      </w:r>
      <w:r>
        <w:rPr>
          <w:rFonts w:hint="eastAsia"/>
          <w:b/>
          <w:sz w:val="32"/>
          <w:szCs w:val="32"/>
        </w:rPr>
        <w:t>类</w:t>
      </w:r>
      <w:r>
        <w:rPr>
          <w:rFonts w:hint="eastAsia" w:ascii="楷体_GB2312" w:eastAsia="楷体_GB2312"/>
          <w:b/>
          <w:sz w:val="32"/>
          <w:szCs w:val="32"/>
        </w:rPr>
        <w:t>)</w:t>
      </w:r>
      <w:r>
        <w:rPr>
          <w:rFonts w:hint="eastAsia"/>
          <w:b/>
          <w:sz w:val="32"/>
          <w:szCs w:val="32"/>
        </w:rPr>
        <w:t>。</w:t>
      </w:r>
      <w:r>
        <w:rPr>
          <w:rFonts w:hint="eastAsia" w:ascii="仿宋_GB2312" w:eastAsia="仿宋_GB2312"/>
          <w:sz w:val="32"/>
          <w:szCs w:val="32"/>
        </w:rPr>
        <w:t>年度预算为143万元，支出决算为144万元，完成年度预算的100.18%。</w:t>
      </w:r>
    </w:p>
    <w:p>
      <w:pPr>
        <w:snapToGrid w:val="0"/>
        <w:spacing w:before="100" w:beforeAutospacing="1" w:after="100" w:afterAutospacing="1" w:line="580" w:lineRule="atLeast"/>
        <w:ind w:firstLine="640"/>
      </w:pPr>
      <w:r>
        <w:rPr>
          <w:rFonts w:hint="eastAsia" w:ascii="黑体" w:hAnsi="黑体" w:eastAsia="黑体"/>
          <w:sz w:val="32"/>
          <w:szCs w:val="32"/>
        </w:rPr>
        <w:t>六、2017年度一般公共预算财政拨款基本支出决算情况说明</w:t>
      </w:r>
    </w:p>
    <w:p>
      <w:pPr>
        <w:snapToGrid w:val="0"/>
        <w:spacing w:before="100" w:beforeAutospacing="1" w:after="100" w:afterAutospacing="1" w:line="580" w:lineRule="atLeast"/>
        <w:ind w:firstLine="640"/>
      </w:pPr>
      <w:r>
        <w:rPr>
          <w:rFonts w:hint="eastAsia" w:ascii="仿宋_GB2312" w:eastAsia="仿宋_GB2312"/>
          <w:sz w:val="32"/>
          <w:szCs w:val="32"/>
        </w:rPr>
        <w:t>2017度一般公共预算财政拨款基本支出2,326万元，其中，</w:t>
      </w:r>
      <w:r>
        <w:rPr>
          <w:rFonts w:hint="eastAsia" w:ascii="仿宋_GB2312" w:eastAsia="仿宋_GB2312"/>
          <w:b/>
          <w:bCs/>
          <w:sz w:val="32"/>
          <w:szCs w:val="32"/>
        </w:rPr>
        <w:t>人员经费</w:t>
      </w:r>
      <w:r>
        <w:rPr>
          <w:rFonts w:hint="eastAsia" w:ascii="仿宋_GB2312" w:eastAsia="仿宋_GB2312"/>
          <w:sz w:val="32"/>
          <w:szCs w:val="32"/>
        </w:rPr>
        <w:t>2,080万元，主要包括：基本工资、津贴补贴、奖金、其他社会保障缴费、伙食补助费、绩效工资、机关事业单位基本养老保险缴费、职业年金缴费、其他工资福利支出、离休费、退休费、退职(役)费、抚恤金、生活补助、救济费、医疗费、助学金、奖励金、生产补贴、住房公积金、提租补贴、购房补贴、物业服务补贴、其他对个人和家庭的补助支出；</w:t>
      </w:r>
      <w:r>
        <w:rPr>
          <w:rFonts w:hint="eastAsia" w:ascii="仿宋_GB2312" w:eastAsia="仿宋_GB2312"/>
          <w:b/>
          <w:bCs/>
          <w:sz w:val="32"/>
          <w:szCs w:val="32"/>
        </w:rPr>
        <w:t>公用经费</w:t>
      </w:r>
      <w:r>
        <w:rPr>
          <w:rFonts w:hint="eastAsia" w:ascii="仿宋_GB2312" w:eastAsia="仿宋_GB2312"/>
          <w:sz w:val="32"/>
          <w:szCs w:val="32"/>
        </w:rPr>
        <w:t>246万元，主要包括：办公费、印刷费、咨询费、手续费、水费、电费、邮电费、取暖费、物业管理费、差旅费、因公出国(境)费、维修(护)费、 租赁费、会议费、培训费、公务接待费、专用材料费、被装购置费、专用燃料费、劳务费、委托业务费、工会经费、福利费、公务用车运行维护费、其他交通费用、 税金及附加费用、其他商品和服务支出、办公设备购置、专用设备购置、信息网络及软件购置更新、公务用车购置、其他交通工具购置、其他资本性支出、企业政策性补贴、事业单位补贴、其他对企事业单位的补贴。</w:t>
      </w:r>
    </w:p>
    <w:p>
      <w:pPr>
        <w:snapToGrid w:val="0"/>
        <w:spacing w:before="100" w:beforeAutospacing="1" w:after="100" w:afterAutospacing="1" w:line="580" w:lineRule="atLeast"/>
        <w:ind w:firstLine="640"/>
      </w:pPr>
      <w:r>
        <w:rPr>
          <w:rFonts w:hint="eastAsia" w:ascii="黑体" w:hAnsi="黑体" w:eastAsia="黑体"/>
          <w:sz w:val="32"/>
          <w:szCs w:val="32"/>
        </w:rPr>
        <w:t>七、2017年度一般公共预算财政拨款“三公”经费支出决算情况说明</w:t>
      </w:r>
    </w:p>
    <w:p>
      <w:pPr>
        <w:snapToGrid w:val="0"/>
        <w:spacing w:before="100" w:beforeAutospacing="1" w:after="100" w:afterAutospacing="1" w:line="580" w:lineRule="atLeast"/>
        <w:ind w:firstLine="640"/>
        <w:rPr>
          <w:b/>
        </w:rPr>
      </w:pPr>
      <w:r>
        <w:rPr>
          <w:rFonts w:hint="eastAsia" w:ascii="楷体_GB2312" w:eastAsia="楷体_GB2312"/>
          <w:b/>
          <w:sz w:val="32"/>
          <w:szCs w:val="32"/>
        </w:rPr>
        <w:t>(</w:t>
      </w:r>
      <w:r>
        <w:rPr>
          <w:rFonts w:hint="eastAsia"/>
          <w:b/>
          <w:sz w:val="32"/>
          <w:szCs w:val="32"/>
        </w:rPr>
        <w:t>一</w:t>
      </w:r>
      <w:r>
        <w:rPr>
          <w:rFonts w:hint="eastAsia" w:ascii="楷体_GB2312" w:eastAsia="楷体_GB2312"/>
          <w:b/>
          <w:sz w:val="32"/>
          <w:szCs w:val="32"/>
        </w:rPr>
        <w:t>)“</w:t>
      </w:r>
      <w:r>
        <w:rPr>
          <w:rFonts w:hint="eastAsia"/>
          <w:b/>
          <w:sz w:val="32"/>
          <w:szCs w:val="32"/>
        </w:rPr>
        <w:t>三公</w:t>
      </w:r>
      <w:r>
        <w:rPr>
          <w:rFonts w:hint="eastAsia" w:ascii="楷体_GB2312" w:eastAsia="楷体_GB2312"/>
          <w:b/>
          <w:sz w:val="32"/>
          <w:szCs w:val="32"/>
        </w:rPr>
        <w:t>”</w:t>
      </w:r>
      <w:r>
        <w:rPr>
          <w:rFonts w:hint="eastAsia"/>
          <w:b/>
          <w:sz w:val="32"/>
          <w:szCs w:val="32"/>
        </w:rPr>
        <w:t>经费的单位范围</w:t>
      </w:r>
    </w:p>
    <w:p>
      <w:pPr>
        <w:snapToGrid w:val="0"/>
        <w:spacing w:before="100" w:beforeAutospacing="1" w:after="100" w:afterAutospacing="1" w:line="580" w:lineRule="atLeast"/>
        <w:ind w:firstLine="640"/>
      </w:pPr>
      <w:r>
        <w:rPr>
          <w:rFonts w:hint="eastAsia" w:ascii="仿宋_GB2312" w:eastAsia="仿宋_GB2312"/>
          <w:color w:val="000000"/>
          <w:sz w:val="32"/>
          <w:szCs w:val="32"/>
        </w:rPr>
        <w:t>武汉市黄陂区滠口街道办事处有一般公共预算财政拨款预算安排“三公”经费的单位包括武汉市黄陂区滠口街道办事处本级及下属2个全额拨款事业单位。</w:t>
      </w:r>
    </w:p>
    <w:p>
      <w:pPr>
        <w:snapToGrid w:val="0"/>
        <w:spacing w:before="100" w:beforeAutospacing="1" w:after="100" w:afterAutospacing="1" w:line="580" w:lineRule="atLeast"/>
        <w:ind w:firstLine="640"/>
        <w:rPr>
          <w:b/>
        </w:rPr>
      </w:pPr>
      <w:r>
        <w:rPr>
          <w:rFonts w:hint="eastAsia" w:ascii="楷体_GB2312" w:eastAsia="楷体_GB2312"/>
          <w:b/>
          <w:sz w:val="32"/>
          <w:szCs w:val="32"/>
        </w:rPr>
        <w:t>(</w:t>
      </w:r>
      <w:r>
        <w:rPr>
          <w:rFonts w:hint="eastAsia"/>
          <w:b/>
          <w:sz w:val="32"/>
          <w:szCs w:val="32"/>
        </w:rPr>
        <w:t>二</w:t>
      </w:r>
      <w:r>
        <w:rPr>
          <w:rFonts w:hint="eastAsia" w:ascii="楷体_GB2312" w:eastAsia="楷体_GB2312"/>
          <w:b/>
          <w:sz w:val="32"/>
          <w:szCs w:val="32"/>
        </w:rPr>
        <w:t>)</w:t>
      </w:r>
      <w:r>
        <w:rPr>
          <w:rFonts w:hint="eastAsia"/>
          <w:b/>
          <w:sz w:val="32"/>
          <w:szCs w:val="32"/>
        </w:rPr>
        <w:t>一般公共预算财政拨款</w:t>
      </w:r>
      <w:r>
        <w:rPr>
          <w:rFonts w:hint="eastAsia" w:ascii="楷体_GB2312" w:eastAsia="楷体_GB2312"/>
          <w:b/>
          <w:sz w:val="32"/>
          <w:szCs w:val="32"/>
        </w:rPr>
        <w:t>“</w:t>
      </w:r>
      <w:r>
        <w:rPr>
          <w:rFonts w:hint="eastAsia"/>
          <w:b/>
          <w:sz w:val="32"/>
          <w:szCs w:val="32"/>
        </w:rPr>
        <w:t>三公</w:t>
      </w:r>
      <w:r>
        <w:rPr>
          <w:rFonts w:hint="eastAsia" w:ascii="楷体_GB2312" w:eastAsia="楷体_GB2312"/>
          <w:b/>
          <w:sz w:val="32"/>
          <w:szCs w:val="32"/>
        </w:rPr>
        <w:t>”</w:t>
      </w:r>
      <w:r>
        <w:rPr>
          <w:rFonts w:hint="eastAsia"/>
          <w:b/>
          <w:sz w:val="32"/>
          <w:szCs w:val="32"/>
        </w:rPr>
        <w:t>经费支出决算情况</w:t>
      </w:r>
    </w:p>
    <w:p>
      <w:pPr>
        <w:snapToGrid w:val="0"/>
        <w:spacing w:before="100" w:beforeAutospacing="1" w:after="100" w:afterAutospacing="1" w:line="580" w:lineRule="atLeast"/>
        <w:ind w:firstLine="640"/>
      </w:pPr>
      <w:r>
        <w:rPr>
          <w:rFonts w:hint="eastAsia" w:ascii="仿宋_GB2312" w:eastAsia="仿宋_GB2312"/>
          <w:color w:val="000000"/>
          <w:sz w:val="32"/>
          <w:szCs w:val="32"/>
        </w:rPr>
        <w:t>2017年度“三公”经费财政拨款年度预算数为56万元，支出决算为56万元，为预算的100%，</w:t>
      </w:r>
      <w:r>
        <w:rPr>
          <w:rFonts w:hint="eastAsia" w:ascii="仿宋_GB2312" w:eastAsia="仿宋_GB2312"/>
          <w:sz w:val="32"/>
          <w:szCs w:val="32"/>
        </w:rPr>
        <w:t>其中：</w:t>
      </w:r>
    </w:p>
    <w:p>
      <w:pPr>
        <w:snapToGrid w:val="0"/>
        <w:spacing w:before="100" w:beforeAutospacing="1" w:after="100" w:afterAutospacing="1" w:line="580" w:lineRule="atLeast"/>
        <w:ind w:firstLine="640"/>
      </w:pPr>
      <w:r>
        <w:rPr>
          <w:rFonts w:hint="eastAsia" w:ascii="仿宋_GB2312" w:eastAsia="仿宋_GB2312"/>
          <w:color w:val="000000"/>
          <w:sz w:val="32"/>
          <w:szCs w:val="32"/>
        </w:rPr>
        <w:t>1.因公出国(境)费用支出决算为0万元。</w:t>
      </w:r>
    </w:p>
    <w:p>
      <w:pPr>
        <w:snapToGrid w:val="0"/>
        <w:spacing w:before="100" w:beforeAutospacing="1" w:after="100" w:afterAutospacing="1" w:line="580" w:lineRule="atLeast"/>
        <w:ind w:firstLine="640"/>
      </w:pPr>
      <w:r>
        <w:rPr>
          <w:rFonts w:hint="eastAsia" w:ascii="仿宋_GB2312" w:eastAsia="仿宋_GB2312"/>
          <w:color w:val="000000"/>
          <w:sz w:val="32"/>
          <w:szCs w:val="32"/>
        </w:rPr>
        <w:t>2.公务用车购置及运行维护费支出决算为13万元，完成预算的100%；其中：</w:t>
      </w:r>
    </w:p>
    <w:p>
      <w:pPr>
        <w:snapToGrid w:val="0"/>
        <w:spacing w:before="100" w:beforeAutospacing="1" w:after="100" w:afterAutospacing="1" w:line="560" w:lineRule="atLeast"/>
        <w:ind w:firstLine="640"/>
      </w:pPr>
      <w:r>
        <w:rPr>
          <w:rFonts w:hint="eastAsia" w:ascii="仿宋_GB2312" w:eastAsia="仿宋_GB2312"/>
          <w:color w:val="000000"/>
          <w:sz w:val="32"/>
          <w:szCs w:val="32"/>
        </w:rPr>
        <w:t>(1)公务用车购置费0万元，本年度没有购车预算，年末公务用车保有量</w:t>
      </w:r>
      <w:r>
        <w:rPr>
          <w:rFonts w:hint="eastAsia" w:ascii="仿宋_GB2312" w:eastAsia="仿宋_GB2312"/>
          <w:sz w:val="32"/>
          <w:szCs w:val="32"/>
          <w:u w:val="single"/>
        </w:rPr>
        <w:t>6</w:t>
      </w:r>
      <w:r>
        <w:rPr>
          <w:rFonts w:hint="eastAsia" w:ascii="仿宋_GB2312" w:eastAsia="仿宋_GB2312"/>
          <w:color w:val="000000"/>
          <w:sz w:val="32"/>
          <w:szCs w:val="32"/>
        </w:rPr>
        <w:t>辆。</w:t>
      </w:r>
    </w:p>
    <w:p>
      <w:pPr>
        <w:snapToGrid w:val="0"/>
        <w:spacing w:before="100" w:beforeAutospacing="1" w:after="100" w:afterAutospacing="1" w:line="58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(2)公务用车运行维护费13万元，为预算的100%，其中：燃料费</w:t>
      </w:r>
      <w:r>
        <w:rPr>
          <w:rFonts w:hint="eastAsia" w:ascii="仿宋_GB2312" w:eastAsia="仿宋_GB2312"/>
          <w:color w:val="000000"/>
          <w:sz w:val="32"/>
          <w:szCs w:val="32"/>
          <w:u w:val="single"/>
        </w:rPr>
        <w:t>7</w:t>
      </w:r>
      <w:r>
        <w:rPr>
          <w:rFonts w:hint="eastAsia" w:ascii="仿宋_GB2312" w:eastAsia="仿宋_GB2312"/>
          <w:color w:val="000000"/>
          <w:sz w:val="32"/>
          <w:szCs w:val="32"/>
        </w:rPr>
        <w:t>万元；维修费</w:t>
      </w:r>
      <w:r>
        <w:rPr>
          <w:rFonts w:hint="eastAsia" w:ascii="仿宋_GB2312" w:eastAsia="仿宋_GB2312"/>
          <w:color w:val="000000"/>
          <w:sz w:val="32"/>
          <w:szCs w:val="32"/>
          <w:u w:val="single"/>
        </w:rPr>
        <w:t>2</w:t>
      </w:r>
      <w:r>
        <w:rPr>
          <w:rFonts w:hint="eastAsia" w:ascii="仿宋_GB2312" w:eastAsia="仿宋_GB2312"/>
          <w:color w:val="000000"/>
          <w:sz w:val="32"/>
          <w:szCs w:val="32"/>
        </w:rPr>
        <w:t>万元；过桥过路费</w:t>
      </w:r>
      <w:r>
        <w:rPr>
          <w:rFonts w:hint="eastAsia" w:ascii="仿宋_GB2312" w:eastAsia="仿宋_GB2312"/>
          <w:color w:val="000000"/>
          <w:sz w:val="32"/>
          <w:szCs w:val="32"/>
          <w:u w:val="single"/>
        </w:rPr>
        <w:t>1</w:t>
      </w:r>
      <w:r>
        <w:rPr>
          <w:rFonts w:hint="eastAsia" w:ascii="仿宋_GB2312" w:eastAsia="仿宋_GB2312"/>
          <w:color w:val="000000"/>
          <w:sz w:val="32"/>
          <w:szCs w:val="32"/>
        </w:rPr>
        <w:t>万元；保险费</w:t>
      </w:r>
      <w:r>
        <w:rPr>
          <w:rFonts w:hint="eastAsia" w:ascii="仿宋_GB2312" w:eastAsia="仿宋_GB2312"/>
          <w:color w:val="000000"/>
          <w:sz w:val="32"/>
          <w:szCs w:val="32"/>
          <w:u w:val="single"/>
        </w:rPr>
        <w:t>3</w:t>
      </w:r>
      <w:r>
        <w:rPr>
          <w:rFonts w:hint="eastAsia" w:ascii="仿宋_GB2312" w:eastAsia="仿宋_GB2312"/>
          <w:color w:val="000000"/>
          <w:sz w:val="32"/>
          <w:szCs w:val="32"/>
        </w:rPr>
        <w:t>万元。</w:t>
      </w:r>
    </w:p>
    <w:p>
      <w:pPr>
        <w:snapToGrid w:val="0"/>
        <w:spacing w:before="100" w:beforeAutospacing="1" w:after="100" w:afterAutospacing="1" w:line="560" w:lineRule="atLeast"/>
        <w:ind w:firstLine="480" w:firstLineChars="150"/>
      </w:pPr>
      <w:r>
        <w:rPr>
          <w:rFonts w:hint="eastAsia" w:ascii="仿宋_GB2312" w:eastAsia="仿宋_GB2312"/>
          <w:color w:val="000000"/>
          <w:sz w:val="32"/>
          <w:szCs w:val="32"/>
        </w:rPr>
        <w:t>（3）公务接待费支出决算为43万元，为预算的</w:t>
      </w:r>
      <w:r>
        <w:rPr>
          <w:rFonts w:hint="eastAsia" w:ascii="仿宋_GB2312" w:eastAsia="仿宋_GB2312"/>
          <w:sz w:val="32"/>
          <w:szCs w:val="32"/>
          <w:u w:val="single"/>
        </w:rPr>
        <w:t>100.00</w:t>
      </w:r>
      <w:r>
        <w:rPr>
          <w:rFonts w:hint="eastAsia" w:ascii="仿宋_GB2312" w:eastAsia="仿宋_GB2312"/>
          <w:color w:val="000000"/>
          <w:sz w:val="32"/>
          <w:szCs w:val="32"/>
        </w:rPr>
        <w:t>%，主要用于主要用于主要用于招商引资、执行公务和开展业务活动发生的公务接待。</w:t>
      </w:r>
    </w:p>
    <w:p>
      <w:pPr>
        <w:snapToGrid w:val="0"/>
        <w:spacing w:before="100" w:beforeAutospacing="1" w:after="100" w:afterAutospacing="1" w:line="580" w:lineRule="atLeast"/>
        <w:ind w:firstLine="360" w:firstLineChars="150"/>
      </w:pPr>
    </w:p>
    <w:p>
      <w:pPr>
        <w:spacing w:line="640" w:lineRule="atLeast"/>
        <w:ind w:firstLine="640"/>
      </w:pPr>
      <w:r>
        <w:rPr>
          <w:rFonts w:hint="eastAsia" w:ascii="仿宋_GB2312" w:eastAsia="仿宋_GB2312"/>
          <w:color w:val="000000"/>
          <w:sz w:val="32"/>
          <w:szCs w:val="32"/>
        </w:rPr>
        <w:t>2017武汉市黄陂区滠口街道办事处 执行公务和开展业务活动开支公务接待费</w:t>
      </w:r>
      <w:r>
        <w:rPr>
          <w:rFonts w:hint="eastAsia" w:ascii="仿宋_GB2312" w:eastAsia="仿宋_GB2312"/>
          <w:color w:val="000000"/>
          <w:sz w:val="32"/>
          <w:szCs w:val="32"/>
          <w:u w:val="single"/>
        </w:rPr>
        <w:t>43</w:t>
      </w:r>
      <w:r>
        <w:rPr>
          <w:rFonts w:hint="eastAsia" w:ascii="仿宋_GB2312" w:eastAsia="仿宋_GB2312"/>
          <w:color w:val="000000"/>
          <w:sz w:val="32"/>
          <w:szCs w:val="32"/>
        </w:rPr>
        <w:t>万元。其中：用于招商引资</w:t>
      </w:r>
      <w:r>
        <w:rPr>
          <w:rFonts w:hint="eastAsia" w:ascii="仿宋_GB2312" w:eastAsia="仿宋_GB2312"/>
          <w:sz w:val="32"/>
          <w:szCs w:val="32"/>
        </w:rPr>
        <w:t>18</w:t>
      </w:r>
      <w:r>
        <w:rPr>
          <w:rFonts w:hint="eastAsia" w:ascii="仿宋_GB2312" w:eastAsia="仿宋_GB2312"/>
          <w:color w:val="000000"/>
          <w:sz w:val="32"/>
          <w:szCs w:val="32"/>
        </w:rPr>
        <w:t>万元，大型活动</w:t>
      </w:r>
      <w:r>
        <w:rPr>
          <w:rFonts w:hint="eastAsia" w:ascii="仿宋_GB2312" w:eastAsia="仿宋_GB2312"/>
          <w:sz w:val="32"/>
          <w:szCs w:val="32"/>
        </w:rPr>
        <w:t> 6</w:t>
      </w:r>
      <w:r>
        <w:rPr>
          <w:rFonts w:hint="eastAsia" w:ascii="仿宋_GB2312" w:eastAsia="仿宋_GB2312"/>
          <w:color w:val="000000"/>
          <w:sz w:val="32"/>
          <w:szCs w:val="32"/>
        </w:rPr>
        <w:t>万元，及执行公务和开展业务活动等接待活动</w:t>
      </w:r>
      <w:r>
        <w:rPr>
          <w:rFonts w:hint="eastAsia" w:ascii="仿宋_GB2312" w:eastAsia="仿宋_GB2312"/>
          <w:sz w:val="32"/>
          <w:szCs w:val="32"/>
        </w:rPr>
        <w:t>19</w:t>
      </w:r>
      <w:r>
        <w:rPr>
          <w:rFonts w:hint="eastAsia" w:ascii="仿宋_GB2312" w:eastAsia="仿宋_GB2312"/>
          <w:color w:val="000000"/>
          <w:sz w:val="32"/>
          <w:szCs w:val="32"/>
        </w:rPr>
        <w:t>万元。</w:t>
      </w:r>
    </w:p>
    <w:p>
      <w:pPr>
        <w:snapToGrid w:val="0"/>
        <w:spacing w:before="100" w:beforeAutospacing="1" w:after="100" w:afterAutospacing="1" w:line="580" w:lineRule="atLeast"/>
        <w:ind w:firstLine="640"/>
      </w:pPr>
    </w:p>
    <w:p>
      <w:pPr>
        <w:snapToGrid w:val="0"/>
        <w:spacing w:before="100" w:beforeAutospacing="1" w:after="100" w:afterAutospacing="1" w:line="580" w:lineRule="atLeast"/>
        <w:ind w:firstLine="640"/>
        <w:rPr>
          <w:rFonts w:ascii="仿宋_GB2312" w:eastAsia="仿宋_GB2312"/>
          <w:color w:val="000000"/>
          <w:sz w:val="32"/>
          <w:szCs w:val="32"/>
        </w:rPr>
      </w:pPr>
      <w:r>
        <w:rPr>
          <w:rFonts w:hint="eastAsia" w:ascii="仿宋_GB2312" w:eastAsia="仿宋_GB2312"/>
          <w:color w:val="000000"/>
          <w:sz w:val="32"/>
          <w:szCs w:val="32"/>
        </w:rPr>
        <w:t>2017年度“三公”经费财政拨款支出决算数比2016年持平。</w:t>
      </w:r>
    </w:p>
    <w:p>
      <w:pPr>
        <w:snapToGrid w:val="0"/>
        <w:spacing w:before="100" w:beforeAutospacing="1" w:after="100" w:afterAutospacing="1" w:line="580" w:lineRule="atLeast"/>
        <w:ind w:firstLine="640"/>
      </w:pPr>
      <w:r>
        <w:rPr>
          <w:rFonts w:hint="eastAsia" w:ascii="黑体" w:hAnsi="黑体" w:eastAsia="黑体"/>
          <w:sz w:val="32"/>
          <w:szCs w:val="32"/>
        </w:rPr>
        <w:t>八、2017年度政府性基金预算财政拨款收入支出决算情况</w:t>
      </w:r>
    </w:p>
    <w:p>
      <w:pPr>
        <w:snapToGrid w:val="0"/>
        <w:spacing w:before="100" w:beforeAutospacing="1" w:after="100" w:afterAutospacing="1" w:line="580" w:lineRule="atLeast"/>
        <w:ind w:firstLine="640"/>
      </w:pPr>
      <w:r>
        <w:rPr>
          <w:rFonts w:hint="eastAsia" w:ascii="仿宋_GB2312" w:eastAsia="仿宋_GB2312"/>
          <w:sz w:val="32"/>
          <w:szCs w:val="32"/>
        </w:rPr>
        <w:t>2017年政府性基金预算财政拨款上年结转和结余0万元，本年收入33,371</w:t>
      </w:r>
      <w:r>
        <w:rPr>
          <w:rFonts w:hint="eastAsia" w:ascii="MS Gothic" w:eastAsia="MS Gothic"/>
          <w:sz w:val="32"/>
          <w:szCs w:val="32"/>
        </w:rPr>
        <w:t>​</w:t>
      </w:r>
      <w:r>
        <w:rPr>
          <w:rFonts w:hint="eastAsia" w:ascii="仿宋_GB2312" w:eastAsia="仿宋_GB2312"/>
          <w:sz w:val="32"/>
          <w:szCs w:val="32"/>
        </w:rPr>
        <w:t>万元，本年支出33,371</w:t>
      </w:r>
      <w:r>
        <w:rPr>
          <w:rFonts w:hint="eastAsia" w:ascii="MS Gothic" w:eastAsia="MS Gothic"/>
          <w:sz w:val="32"/>
          <w:szCs w:val="32"/>
        </w:rPr>
        <w:t>​</w:t>
      </w:r>
      <w:r>
        <w:rPr>
          <w:rFonts w:hint="eastAsia" w:ascii="仿宋_GB2312" w:eastAsia="仿宋_GB2312"/>
          <w:sz w:val="32"/>
          <w:szCs w:val="32"/>
        </w:rPr>
        <w:t>万元，年末结转和结余0</w:t>
      </w:r>
      <w:r>
        <w:rPr>
          <w:rFonts w:hint="eastAsia" w:ascii="MS Gothic" w:eastAsia="MS Gothic"/>
          <w:sz w:val="32"/>
          <w:szCs w:val="32"/>
        </w:rPr>
        <w:t>​</w:t>
      </w:r>
      <w:r>
        <w:rPr>
          <w:rFonts w:hint="eastAsia" w:ascii="仿宋_GB2312" w:eastAsia="仿宋_GB2312"/>
          <w:sz w:val="32"/>
          <w:szCs w:val="32"/>
        </w:rPr>
        <w:t>万元。具体支出情况为：</w:t>
      </w:r>
    </w:p>
    <w:p>
      <w:pPr>
        <w:snapToGrid w:val="0"/>
        <w:spacing w:before="100" w:beforeAutospacing="1" w:after="100" w:afterAutospacing="1" w:line="560" w:lineRule="atLeast"/>
        <w:ind w:firstLine="643"/>
      </w:pPr>
      <w:r>
        <w:rPr>
          <w:rFonts w:hint="eastAsia" w:ascii="仿宋_GB2312" w:eastAsia="仿宋_GB2312"/>
          <w:b/>
          <w:bCs/>
          <w:sz w:val="32"/>
          <w:szCs w:val="32"/>
        </w:rPr>
        <w:t>(一) 城乡社区支出(类)。</w:t>
      </w:r>
      <w:r>
        <w:rPr>
          <w:rFonts w:hint="eastAsia" w:ascii="仿宋_GB2312" w:eastAsia="仿宋_GB2312"/>
          <w:sz w:val="32"/>
          <w:szCs w:val="32"/>
        </w:rPr>
        <w:t>支出决算为33,371万元，主要用于长松还建点、南湖还建点、解放大道下延线国际物流港道路、阳逻湾整体改造以及新河特大桥、南湖三环立交等项目。</w:t>
      </w:r>
    </w:p>
    <w:p>
      <w:pPr>
        <w:snapToGrid w:val="0"/>
        <w:spacing w:before="100" w:beforeAutospacing="1" w:after="100" w:afterAutospacing="1" w:line="580" w:lineRule="atLeast"/>
        <w:ind w:firstLine="640"/>
      </w:pPr>
      <w:r>
        <w:rPr>
          <w:rFonts w:hint="eastAsia" w:ascii="楷体_GB2312" w:eastAsia="楷体_GB2312"/>
          <w:sz w:val="32"/>
          <w:szCs w:val="32"/>
        </w:rPr>
        <w:t xml:space="preserve"> </w:t>
      </w:r>
    </w:p>
    <w:p>
      <w:pPr>
        <w:snapToGrid w:val="0"/>
        <w:spacing w:before="100" w:beforeAutospacing="1" w:after="100" w:afterAutospacing="1" w:line="580" w:lineRule="atLeast"/>
        <w:ind w:firstLine="640"/>
      </w:pPr>
      <w:r>
        <w:rPr>
          <w:rFonts w:hint="eastAsia" w:ascii="黑体" w:hAnsi="黑体" w:eastAsia="黑体"/>
          <w:sz w:val="32"/>
          <w:szCs w:val="32"/>
        </w:rPr>
        <w:t>九、</w:t>
      </w:r>
      <w:r>
        <w:rPr>
          <w:rFonts w:hint="eastAsia" w:ascii="黑体" w:hAnsi="黑体" w:eastAsia="黑体"/>
          <w:color w:val="000000"/>
          <w:sz w:val="32"/>
          <w:szCs w:val="32"/>
        </w:rPr>
        <w:t>2017年度其他重要事项的情况</w:t>
      </w:r>
      <w:r>
        <w:rPr>
          <w:rFonts w:hint="eastAsia" w:ascii="黑体" w:hAnsi="黑体" w:eastAsia="黑体"/>
          <w:sz w:val="32"/>
          <w:szCs w:val="32"/>
        </w:rPr>
        <w:t>说明</w:t>
      </w:r>
    </w:p>
    <w:p>
      <w:pPr>
        <w:snapToGrid w:val="0"/>
        <w:spacing w:before="100" w:beforeAutospacing="1" w:after="100" w:afterAutospacing="1" w:line="580" w:lineRule="atLeast"/>
        <w:ind w:firstLine="640"/>
      </w:pPr>
      <w:r>
        <w:rPr>
          <w:rFonts w:hint="eastAsia" w:ascii="楷体_GB2312" w:eastAsia="楷体_GB2312"/>
          <w:sz w:val="32"/>
          <w:szCs w:val="32"/>
        </w:rPr>
        <w:t>(</w:t>
      </w:r>
      <w:r>
        <w:rPr>
          <w:rFonts w:hint="eastAsia"/>
          <w:sz w:val="32"/>
          <w:szCs w:val="32"/>
        </w:rPr>
        <w:t>一</w:t>
      </w:r>
      <w:r>
        <w:rPr>
          <w:rFonts w:hint="eastAsia" w:ascii="楷体_GB2312" w:eastAsia="楷体_GB2312"/>
          <w:sz w:val="32"/>
          <w:szCs w:val="32"/>
        </w:rPr>
        <w:t>)</w:t>
      </w:r>
      <w:r>
        <w:rPr>
          <w:rFonts w:hint="eastAsia"/>
          <w:sz w:val="32"/>
          <w:szCs w:val="32"/>
        </w:rPr>
        <w:t>机关运行经费支出情况。</w:t>
      </w:r>
    </w:p>
    <w:p>
      <w:pPr>
        <w:snapToGrid w:val="0"/>
        <w:spacing w:before="100" w:beforeAutospacing="1" w:after="100" w:afterAutospacing="1" w:line="580" w:lineRule="atLeast"/>
        <w:ind w:firstLine="640"/>
        <w:rPr>
          <w:rFonts w:ascii="仿宋_GB2312" w:eastAsia="仿宋_GB2312"/>
          <w:sz w:val="32"/>
          <w:szCs w:val="32"/>
        </w:rPr>
      </w:pPr>
      <w:r>
        <w:rPr>
          <w:rFonts w:hint="eastAsia" w:ascii="仿宋_GB2312" w:eastAsia="仿宋_GB2312"/>
          <w:sz w:val="32"/>
          <w:szCs w:val="32"/>
        </w:rPr>
        <w:t>2017年度武汉市黄陂区滠口街道办事处(含参照公务员法管理的事业单位)机关运行经费支出219万元，比2016年增加21万元，增长10.6</w:t>
      </w:r>
      <w:r>
        <w:rPr>
          <w:rFonts w:hint="eastAsia"/>
          <w:sz w:val="32"/>
          <w:szCs w:val="32"/>
        </w:rPr>
        <w:t> </w:t>
      </w:r>
      <w:r>
        <w:rPr>
          <w:rFonts w:hint="eastAsia" w:ascii="仿宋_GB2312" w:eastAsia="仿宋_GB2312"/>
          <w:sz w:val="32"/>
          <w:szCs w:val="32"/>
        </w:rPr>
        <w:t>%。主要原因是各项重点工程协调费用增加等。</w:t>
      </w:r>
    </w:p>
    <w:p>
      <w:pPr>
        <w:snapToGrid w:val="0"/>
        <w:spacing w:before="100" w:beforeAutospacing="1" w:after="100" w:afterAutospacing="1" w:line="580" w:lineRule="atLeast"/>
        <w:ind w:firstLine="640"/>
      </w:pPr>
      <w:r>
        <w:rPr>
          <w:rFonts w:hint="eastAsia" w:ascii="楷体_GB2312" w:eastAsia="楷体_GB2312"/>
          <w:sz w:val="32"/>
          <w:szCs w:val="32"/>
        </w:rPr>
        <w:t xml:space="preserve"> </w:t>
      </w:r>
    </w:p>
    <w:p>
      <w:pPr>
        <w:snapToGrid w:val="0"/>
        <w:spacing w:before="100" w:beforeAutospacing="1" w:after="100" w:afterAutospacing="1" w:line="580" w:lineRule="atLeast"/>
        <w:ind w:firstLine="640"/>
      </w:pPr>
      <w:r>
        <w:rPr>
          <w:rFonts w:hint="eastAsia" w:ascii="楷体_GB2312" w:eastAsia="楷体_GB2312"/>
          <w:sz w:val="32"/>
          <w:szCs w:val="32"/>
        </w:rPr>
        <w:t>(</w:t>
      </w:r>
      <w:r>
        <w:rPr>
          <w:rFonts w:hint="eastAsia"/>
          <w:sz w:val="32"/>
          <w:szCs w:val="32"/>
        </w:rPr>
        <w:t>二</w:t>
      </w:r>
      <w:r>
        <w:rPr>
          <w:rFonts w:hint="eastAsia" w:ascii="楷体_GB2312" w:eastAsia="楷体_GB2312"/>
          <w:sz w:val="32"/>
          <w:szCs w:val="32"/>
        </w:rPr>
        <w:t>)</w:t>
      </w:r>
      <w:r>
        <w:rPr>
          <w:rFonts w:hint="eastAsia"/>
          <w:sz w:val="32"/>
          <w:szCs w:val="32"/>
        </w:rPr>
        <w:t>国有资产占用情况。</w:t>
      </w:r>
    </w:p>
    <w:p>
      <w:pPr>
        <w:snapToGrid w:val="0"/>
        <w:spacing w:before="100" w:beforeAutospacing="1" w:after="100" w:afterAutospacing="1" w:line="580" w:lineRule="atLeast"/>
        <w:ind w:firstLine="640"/>
      </w:pPr>
      <w:r>
        <w:rPr>
          <w:rFonts w:hint="eastAsia" w:ascii="仿宋_GB2312" w:eastAsia="仿宋_GB2312"/>
          <w:sz w:val="32"/>
          <w:szCs w:val="32"/>
        </w:rPr>
        <w:t>截至2017年12月31日，武汉市黄陂区滠口街道办事处共有车辆6辆，其中，一般公务用车6辆。</w:t>
      </w:r>
    </w:p>
    <w:p>
      <w:pPr>
        <w:snapToGrid w:val="0"/>
        <w:spacing w:before="100" w:beforeAutospacing="1" w:after="100" w:afterAutospacing="1" w:line="600" w:lineRule="atLeast"/>
        <w:ind w:right="24"/>
      </w:pPr>
      <w:r>
        <w:rPr>
          <w:rFonts w:hint="eastAsia"/>
          <w:sz w:val="32"/>
          <w:szCs w:val="32"/>
        </w:rPr>
        <w:t> </w:t>
      </w:r>
    </w:p>
    <w:p>
      <w:pPr>
        <w:snapToGrid w:val="0"/>
        <w:spacing w:before="100" w:beforeAutospacing="1" w:after="100" w:afterAutospacing="1"/>
      </w:pPr>
      <w:r>
        <w:rPr>
          <w:rFonts w:hint="eastAsia"/>
          <w:sz w:val="32"/>
          <w:szCs w:val="32"/>
        </w:rPr>
        <w:t> </w:t>
      </w:r>
      <w:r>
        <w:rPr>
          <w:rFonts w:hint="eastAsia" w:ascii="仿宋_GB2312" w:eastAsia="仿宋_GB2312"/>
          <w:sz w:val="32"/>
          <w:szCs w:val="32"/>
        </w:rPr>
        <w:t xml:space="preserve"> </w:t>
      </w:r>
    </w:p>
    <w:p>
      <w:pPr>
        <w:snapToGrid w:val="0"/>
        <w:spacing w:before="100" w:beforeAutospacing="1" w:after="100" w:afterAutospacing="1"/>
        <w:jc w:val="center"/>
      </w:pPr>
      <w:r>
        <w:rPr>
          <w:rFonts w:hint="eastAsia"/>
          <w:b/>
          <w:bCs/>
          <w:sz w:val="32"/>
          <w:szCs w:val="32"/>
        </w:rPr>
        <w:t>第四部分 </w:t>
      </w:r>
      <w:r>
        <w:rPr>
          <w:rFonts w:hint="eastAsia" w:ascii="仿宋_GB2312" w:eastAsia="仿宋_GB2312"/>
          <w:b/>
          <w:bCs/>
          <w:sz w:val="32"/>
          <w:szCs w:val="32"/>
        </w:rPr>
        <w:t xml:space="preserve"> 2017</w:t>
      </w:r>
      <w:r>
        <w:rPr>
          <w:rFonts w:hint="eastAsia"/>
          <w:b/>
          <w:bCs/>
          <w:sz w:val="32"/>
          <w:szCs w:val="32"/>
        </w:rPr>
        <w:t>年重点工作完成情况</w:t>
      </w:r>
    </w:p>
    <w:p>
      <w:pPr>
        <w:snapToGrid w:val="0"/>
        <w:spacing w:before="100" w:beforeAutospacing="1" w:after="100" w:afterAutospacing="1" w:line="580" w:lineRule="atLeast"/>
        <w:ind w:firstLine="640"/>
        <w:jc w:val="center"/>
      </w:pPr>
      <w:r>
        <w:rPr>
          <w:rFonts w:hint="eastAsia"/>
          <w:sz w:val="32"/>
          <w:szCs w:val="32"/>
        </w:rPr>
        <w:t> </w:t>
      </w:r>
    </w:p>
    <w:p>
      <w:pPr>
        <w:pStyle w:val="9"/>
        <w:numPr>
          <w:ilvl w:val="0"/>
          <w:numId w:val="1"/>
        </w:numPr>
        <w:snapToGrid w:val="0"/>
        <w:spacing w:before="100" w:beforeAutospacing="1" w:after="100" w:afterAutospacing="1" w:line="580" w:lineRule="atLeast"/>
        <w:ind w:firstLineChars="0"/>
        <w:rPr>
          <w:rFonts w:ascii="黑体" w:hAnsi="黑体" w:eastAsia="黑体"/>
          <w:sz w:val="32"/>
          <w:szCs w:val="32"/>
        </w:rPr>
      </w:pPr>
      <w:r>
        <w:rPr>
          <w:rFonts w:hint="eastAsia" w:ascii="黑体" w:hAnsi="黑体" w:eastAsia="黑体"/>
          <w:sz w:val="32"/>
          <w:szCs w:val="32"/>
        </w:rPr>
        <w:t>绩效目标任务</w:t>
      </w:r>
    </w:p>
    <w:p>
      <w:pPr>
        <w:spacing w:line="460" w:lineRule="exact"/>
        <w:ind w:firstLine="480" w:firstLineChars="200"/>
        <w:rPr>
          <w:rFonts w:ascii="楷体" w:hAnsi="楷体" w:eastAsia="楷体"/>
          <w:b/>
          <w:sz w:val="32"/>
          <w:szCs w:val="32"/>
        </w:rPr>
      </w:pPr>
      <w:r>
        <w:rPr>
          <w:rFonts w:hint="eastAsia"/>
        </w:rPr>
        <w:t xml:space="preserve"> </w:t>
      </w:r>
      <w:r>
        <w:rPr>
          <w:rFonts w:hint="eastAsia" w:ascii="楷体" w:hAnsi="楷体" w:eastAsia="楷体"/>
          <w:b/>
          <w:sz w:val="32"/>
          <w:szCs w:val="32"/>
        </w:rPr>
        <w:t>（一）主要经济指标完成情况</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2017年，我街承担11项主要经济绩效目标，完成情况如下：</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（1）国地税全年目标24000万元，已完成</w:t>
      </w:r>
      <w:r>
        <w:rPr>
          <w:rFonts w:ascii="仿宋" w:hAnsi="仿宋" w:eastAsia="仿宋"/>
          <w:sz w:val="32"/>
          <w:szCs w:val="32"/>
        </w:rPr>
        <w:t>2</w:t>
      </w:r>
      <w:r>
        <w:rPr>
          <w:rFonts w:hint="eastAsia" w:ascii="仿宋" w:hAnsi="仿宋" w:eastAsia="仿宋"/>
          <w:sz w:val="32"/>
          <w:szCs w:val="32"/>
        </w:rPr>
        <w:t>8800万元，占全年目标任务的</w:t>
      </w:r>
      <w:r>
        <w:rPr>
          <w:rFonts w:ascii="仿宋" w:hAnsi="仿宋" w:eastAsia="仿宋"/>
          <w:sz w:val="32"/>
          <w:szCs w:val="32"/>
        </w:rPr>
        <w:t>1</w:t>
      </w:r>
      <w:r>
        <w:rPr>
          <w:rFonts w:hint="eastAsia" w:ascii="仿宋" w:hAnsi="仿宋" w:eastAsia="仿宋"/>
          <w:sz w:val="32"/>
          <w:szCs w:val="32"/>
        </w:rPr>
        <w:t>18.5</w:t>
      </w:r>
      <w:r>
        <w:rPr>
          <w:rFonts w:ascii="仿宋" w:hAnsi="仿宋" w:eastAsia="仿宋"/>
          <w:sz w:val="32"/>
          <w:szCs w:val="32"/>
        </w:rPr>
        <w:t xml:space="preserve"> </w:t>
      </w:r>
      <w:r>
        <w:rPr>
          <w:rFonts w:hint="eastAsia" w:ascii="仿宋" w:hAnsi="仿宋" w:eastAsia="仿宋"/>
          <w:sz w:val="32"/>
          <w:szCs w:val="32"/>
        </w:rPr>
        <w:t>%，其中国税完成14987.5万元，地税完成13452万元；（2）固定资产投资全年目标41.19亿元，已完成41.73亿元，占全年任务的102</w:t>
      </w:r>
      <w:r>
        <w:rPr>
          <w:rFonts w:ascii="仿宋" w:hAnsi="仿宋" w:eastAsia="仿宋"/>
          <w:sz w:val="32"/>
          <w:szCs w:val="32"/>
        </w:rPr>
        <w:t xml:space="preserve"> </w:t>
      </w:r>
      <w:r>
        <w:rPr>
          <w:rFonts w:hint="eastAsia" w:ascii="仿宋" w:hAnsi="仿宋" w:eastAsia="仿宋"/>
          <w:sz w:val="32"/>
          <w:szCs w:val="32"/>
        </w:rPr>
        <w:t>%；（3）工业投资全年目标26.46亿元，已完成29.46亿元，占全年任务的112</w:t>
      </w:r>
      <w:r>
        <w:rPr>
          <w:rFonts w:ascii="仿宋" w:hAnsi="仿宋" w:eastAsia="仿宋"/>
          <w:sz w:val="32"/>
          <w:szCs w:val="32"/>
        </w:rPr>
        <w:t xml:space="preserve"> </w:t>
      </w:r>
      <w:r>
        <w:rPr>
          <w:rFonts w:hint="eastAsia" w:ascii="仿宋" w:hAnsi="仿宋" w:eastAsia="仿宋"/>
          <w:sz w:val="32"/>
          <w:szCs w:val="32"/>
        </w:rPr>
        <w:t>%；（4）工业企业小进规2017年全年目标2户，已完成3户，超1户，2018年计划培育申报户数户数10户，也已完成；（5）限上企业社零全年目标增幅18%，已完成增幅30%；（6）限上企业销售额全年目标增幅18%，实际已完成增幅20.1%；（7）外贸出口全年目标1054万元，已完成。（8）引进内资全年目标46.49亿元，已完成48.81亿元，占全年任务的105</w:t>
      </w:r>
      <w:r>
        <w:rPr>
          <w:rFonts w:ascii="仿宋" w:hAnsi="仿宋" w:eastAsia="仿宋"/>
          <w:sz w:val="32"/>
          <w:szCs w:val="32"/>
        </w:rPr>
        <w:t xml:space="preserve"> </w:t>
      </w:r>
      <w:r>
        <w:rPr>
          <w:rFonts w:hint="eastAsia" w:ascii="仿宋" w:hAnsi="仿宋" w:eastAsia="仿宋"/>
          <w:sz w:val="32"/>
          <w:szCs w:val="32"/>
        </w:rPr>
        <w:t>%；（9）实际利用外资全年目标2000万美元，已完成。（10）小进限目标1户，已完成。（11）规上工业总产值全年目标140.9亿元，已完成。</w:t>
      </w:r>
    </w:p>
    <w:p>
      <w:pPr>
        <w:spacing w:line="460" w:lineRule="exact"/>
        <w:ind w:firstLine="643" w:firstLineChars="200"/>
        <w:rPr>
          <w:rFonts w:ascii="楷体" w:hAnsi="楷体" w:eastAsia="楷体"/>
          <w:b/>
          <w:sz w:val="32"/>
          <w:szCs w:val="32"/>
        </w:rPr>
      </w:pPr>
      <w:r>
        <w:rPr>
          <w:rFonts w:hint="eastAsia" w:ascii="楷体" w:hAnsi="楷体" w:eastAsia="楷体"/>
          <w:b/>
          <w:sz w:val="32"/>
          <w:szCs w:val="32"/>
        </w:rPr>
        <w:t>（二）特色指标完成情况</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积极推进招才引智工作，精准扶贫任务较好完成。加强“四水共治”和湖泊保护，拆除历史违建，违法填湖、湖边违建等行为得到有效遏制；加强城市综合管理，市容市貌和村湾环境卫生显著改善，完成拆除府河新河出江口与朱家河出江口围合区域存量违建10000平方</w:t>
      </w:r>
      <w:r>
        <w:rPr>
          <w:rFonts w:hint="eastAsia" w:ascii="仿宋" w:hAnsi="仿宋" w:eastAsia="仿宋"/>
          <w:sz w:val="32"/>
          <w:szCs w:val="32"/>
          <w:lang w:eastAsia="zh-CN"/>
        </w:rPr>
        <w:t>米</w:t>
      </w:r>
      <w:r>
        <w:rPr>
          <w:rFonts w:hint="eastAsia" w:ascii="仿宋" w:hAnsi="仿宋" w:eastAsia="仿宋"/>
          <w:sz w:val="32"/>
          <w:szCs w:val="32"/>
        </w:rPr>
        <w:t>的拆除任务；严格按照国土规划做好控制违法用地、新增建设用地以及重点工程土地及房屋征收工作。完成解放大道下延线征地86亩，征收10000㎡的目标任务。完成四环线滠口段征地拆迁目标任务。完成客运中心西环线、客运中心西延线、泵站河西路南段、环湖路、阳逻湾南路、南湖大桥新建、新河特大桥等项目的绩效目标任务。积极推进滠阳大道人行道改造、明富街延长线、营盘里小游园配套道路、十里工业园基础设施建设、滠口镇区雨污分流改造、花卉市场小游园等项目建设。加快三环线南湖村立交、滨湖路延长线新十公路至石道线段征拆工作。积极推进木兰畅谷建设。新建滠口三小，完成卫生院搬迁工程，推进环湖西路建设。</w:t>
      </w:r>
    </w:p>
    <w:p>
      <w:pPr>
        <w:pStyle w:val="9"/>
        <w:numPr>
          <w:ilvl w:val="0"/>
          <w:numId w:val="1"/>
        </w:numPr>
        <w:snapToGrid w:val="0"/>
        <w:spacing w:before="100" w:beforeAutospacing="1" w:after="100" w:afterAutospacing="1" w:line="580" w:lineRule="atLeast"/>
        <w:ind w:firstLineChars="0"/>
        <w:rPr>
          <w:rFonts w:ascii="黑体" w:hAnsi="黑体" w:eastAsia="黑体"/>
          <w:sz w:val="32"/>
          <w:szCs w:val="32"/>
        </w:rPr>
      </w:pPr>
      <w:r>
        <w:rPr>
          <w:rFonts w:hint="eastAsia" w:ascii="黑体" w:hAnsi="黑体" w:eastAsia="黑体"/>
          <w:sz w:val="32"/>
          <w:szCs w:val="32"/>
        </w:rPr>
        <w:t>招商引资</w:t>
      </w:r>
    </w:p>
    <w:p>
      <w:pPr>
        <w:snapToGrid w:val="0"/>
        <w:spacing w:before="100" w:beforeAutospacing="1" w:after="100" w:afterAutospacing="1" w:line="580" w:lineRule="atLeast"/>
        <w:ind w:firstLine="800" w:firstLineChars="250"/>
      </w:pPr>
      <w:r>
        <w:rPr>
          <w:rFonts w:hint="eastAsia" w:ascii="仿宋" w:hAnsi="仿宋" w:eastAsia="仿宋"/>
          <w:sz w:val="32"/>
          <w:szCs w:val="32"/>
        </w:rPr>
        <w:t>引进省交投物流、京天网盟、攀升鼎承等物流业内领先企业，温州彩印产业园已建成30万㎡</w:t>
      </w:r>
      <w:r>
        <w:rPr>
          <w:rFonts w:hint="eastAsia" w:ascii="仿宋" w:hAnsi="仿宋" w:eastAsia="仿宋" w:cs="微软雅黑"/>
          <w:sz w:val="32"/>
          <w:szCs w:val="32"/>
        </w:rPr>
        <w:t>厂房，并引进</w:t>
      </w:r>
      <w:r>
        <w:rPr>
          <w:rFonts w:hint="eastAsia" w:ascii="仿宋" w:hAnsi="仿宋" w:eastAsia="仿宋"/>
          <w:sz w:val="32"/>
          <w:szCs w:val="32"/>
        </w:rPr>
        <w:t>16家企业注册，目前已有5家企业正式投产，预计年产值2.5亿元，税收500万元。武汉群星明供应链管理股份有限公司已于2017年10月成功挂牌上市，武汉中阳明建材有限公司投资建设的商混项目及羿钧实业已正式投产。图腾工贸、兴盛通电气设备、飞博乐环保、丰达凯旋、太格光电、兴盛通、博斯盛物业等优秀企业项目先后开工，</w:t>
      </w:r>
    </w:p>
    <w:p>
      <w:pPr>
        <w:pStyle w:val="9"/>
        <w:numPr>
          <w:ilvl w:val="0"/>
          <w:numId w:val="1"/>
        </w:numPr>
        <w:snapToGrid w:val="0"/>
        <w:spacing w:before="100" w:beforeAutospacing="1" w:after="100" w:afterAutospacing="1" w:line="580" w:lineRule="atLeast"/>
        <w:ind w:firstLineChars="0"/>
        <w:rPr>
          <w:rFonts w:ascii="黑体" w:eastAsia="黑体"/>
          <w:sz w:val="32"/>
          <w:szCs w:val="32"/>
        </w:rPr>
      </w:pPr>
      <w:r>
        <w:rPr>
          <w:rFonts w:hint="eastAsia" w:ascii="黑体" w:eastAsia="黑体"/>
          <w:sz w:val="32"/>
          <w:szCs w:val="32"/>
        </w:rPr>
        <w:t>城市建设</w:t>
      </w:r>
    </w:p>
    <w:p>
      <w:pPr>
        <w:spacing w:line="460" w:lineRule="exact"/>
        <w:ind w:firstLine="803" w:firstLineChars="250"/>
        <w:rPr>
          <w:rFonts w:ascii="楷体" w:hAnsi="楷体" w:eastAsia="楷体"/>
          <w:b/>
          <w:sz w:val="32"/>
          <w:szCs w:val="32"/>
        </w:rPr>
      </w:pPr>
      <w:r>
        <w:rPr>
          <w:rFonts w:hint="eastAsia" w:ascii="楷体" w:hAnsi="楷体" w:eastAsia="楷体"/>
          <w:b/>
          <w:sz w:val="32"/>
          <w:szCs w:val="32"/>
        </w:rPr>
        <w:t>（一）狠抓市、区重点工程建设</w:t>
      </w:r>
    </w:p>
    <w:p>
      <w:pPr>
        <w:spacing w:line="460" w:lineRule="exact"/>
        <w:ind w:firstLine="640"/>
        <w:rPr>
          <w:rFonts w:ascii="仿宋" w:hAnsi="仿宋" w:eastAsia="仿宋"/>
          <w:sz w:val="32"/>
          <w:szCs w:val="32"/>
        </w:rPr>
      </w:pPr>
      <w:r>
        <w:rPr>
          <w:rFonts w:hint="eastAsia" w:ascii="仿宋" w:hAnsi="仿宋" w:eastAsia="仿宋"/>
          <w:sz w:val="32"/>
          <w:szCs w:val="32"/>
        </w:rPr>
        <w:t>解放大道下延线，涉及征地86亩，拆迁房屋569户，面积12.6万㎡，已全部完成绩效目标任务；四环线需在我街征地1095.55亩、拆迁4.5万㎡，目前征地工作全部完成，拆迁完成95%；“木兰畅谷”2017年一期项目中，国际物联港项目目前已全部封顶，占地100亩，建设面积共计25万㎡，8月已正式对外销售。数码港项目成功引入清华大学国服院跨境电商，7月正式入驻，已与中国普天通信公司签订入驻协议。新河特大桥项目已完成征地185亩，单位拆迁9家，房屋征收面积6万㎡；三环线南湖互通已正式启动，工期30个月。</w:t>
      </w:r>
    </w:p>
    <w:p>
      <w:pPr>
        <w:spacing w:line="460" w:lineRule="exact"/>
        <w:ind w:firstLine="640"/>
        <w:rPr>
          <w:rFonts w:ascii="楷体" w:hAnsi="楷体" w:eastAsia="楷体"/>
          <w:b/>
          <w:sz w:val="32"/>
          <w:szCs w:val="32"/>
        </w:rPr>
      </w:pPr>
      <w:r>
        <w:rPr>
          <w:rFonts w:hint="eastAsia" w:ascii="楷体" w:hAnsi="楷体" w:eastAsia="楷体"/>
          <w:b/>
          <w:sz w:val="32"/>
          <w:szCs w:val="32"/>
        </w:rPr>
        <w:t>（二）加快基础设施建设进度</w:t>
      </w:r>
    </w:p>
    <w:p>
      <w:pPr>
        <w:spacing w:line="460" w:lineRule="exact"/>
        <w:ind w:firstLine="640"/>
        <w:rPr>
          <w:rFonts w:ascii="仿宋" w:hAnsi="仿宋" w:eastAsia="仿宋"/>
          <w:sz w:val="32"/>
          <w:szCs w:val="32"/>
        </w:rPr>
      </w:pPr>
      <w:r>
        <w:rPr>
          <w:rFonts w:hint="eastAsia" w:ascii="仿宋" w:hAnsi="仿宋" w:eastAsia="仿宋"/>
          <w:sz w:val="32"/>
          <w:szCs w:val="32"/>
        </w:rPr>
        <w:t>滨湖路延长线项目征地拆迁工作已完成</w:t>
      </w:r>
      <w:r>
        <w:rPr>
          <w:rFonts w:hint="eastAsia" w:ascii="仿宋" w:hAnsi="仿宋" w:eastAsia="仿宋" w:cs="微软雅黑"/>
          <w:sz w:val="32"/>
          <w:szCs w:val="32"/>
        </w:rPr>
        <w:t>；</w:t>
      </w:r>
      <w:r>
        <w:rPr>
          <w:rFonts w:hint="eastAsia" w:ascii="仿宋" w:hAnsi="仿宋" w:eastAsia="仿宋"/>
          <w:sz w:val="32"/>
          <w:szCs w:val="32"/>
        </w:rPr>
        <w:t>环湖路</w:t>
      </w:r>
      <w:r>
        <w:rPr>
          <w:rFonts w:hint="eastAsia" w:ascii="仿宋" w:hAnsi="仿宋" w:eastAsia="仿宋" w:cs="微软雅黑"/>
          <w:sz w:val="32"/>
          <w:szCs w:val="32"/>
        </w:rPr>
        <w:t>地已征完，完成拆迁</w:t>
      </w:r>
      <w:r>
        <w:rPr>
          <w:rFonts w:hint="eastAsia" w:ascii="仿宋" w:hAnsi="仿宋" w:eastAsia="仿宋"/>
          <w:sz w:val="32"/>
          <w:szCs w:val="32"/>
        </w:rPr>
        <w:t>1051㎡</w:t>
      </w:r>
      <w:r>
        <w:rPr>
          <w:rFonts w:hint="eastAsia" w:ascii="仿宋" w:hAnsi="仿宋" w:eastAsia="仿宋" w:cs="微软雅黑"/>
          <w:sz w:val="32"/>
          <w:szCs w:val="32"/>
        </w:rPr>
        <w:t>，剩余水泥厂</w:t>
      </w:r>
      <w:r>
        <w:rPr>
          <w:rFonts w:hint="eastAsia" w:ascii="仿宋" w:hAnsi="仿宋" w:eastAsia="仿宋"/>
          <w:sz w:val="32"/>
          <w:szCs w:val="32"/>
        </w:rPr>
        <w:t>3987㎡</w:t>
      </w:r>
      <w:r>
        <w:rPr>
          <w:rFonts w:hint="eastAsia" w:ascii="仿宋" w:hAnsi="仿宋" w:eastAsia="仿宋" w:cs="微软雅黑"/>
          <w:sz w:val="32"/>
          <w:szCs w:val="32"/>
        </w:rPr>
        <w:t>等待评估结果；</w:t>
      </w:r>
      <w:r>
        <w:rPr>
          <w:rFonts w:hint="eastAsia" w:ascii="仿宋" w:hAnsi="仿宋" w:eastAsia="仿宋"/>
          <w:sz w:val="32"/>
          <w:szCs w:val="32"/>
        </w:rPr>
        <w:t>泵站河西路南段工程已正式启动建设。营盘里小游园已完工，花卉市场小游园、明富街延长线项目建设已启动，滠口镇区雨污分流已开工。滠口二小（二期）工程已完成并部分交付使用。滠口三小6月已开工，预计明年9月前完工并交付使用。滠口一小改扩建工程正在办理前期手续。加快工业园区基础设施建设，截</w:t>
      </w:r>
      <w:r>
        <w:rPr>
          <w:rFonts w:hint="eastAsia" w:ascii="仿宋" w:hAnsi="仿宋" w:eastAsia="仿宋"/>
          <w:sz w:val="32"/>
          <w:szCs w:val="32"/>
          <w:lang w:eastAsia="zh-CN"/>
        </w:rPr>
        <w:t>至</w:t>
      </w:r>
      <w:r>
        <w:rPr>
          <w:rFonts w:hint="eastAsia" w:ascii="仿宋" w:hAnsi="仿宋" w:eastAsia="仿宋"/>
          <w:sz w:val="32"/>
          <w:szCs w:val="32"/>
        </w:rPr>
        <w:t>目前，十里工业园电网主线路已到园，开闭所已建成，5.6公里供水管网已铺设，供水加压站正在办理施工手续。</w:t>
      </w:r>
    </w:p>
    <w:p>
      <w:pPr>
        <w:spacing w:line="460" w:lineRule="exact"/>
        <w:ind w:firstLine="643"/>
        <w:rPr>
          <w:rFonts w:ascii="楷体" w:hAnsi="楷体" w:eastAsia="楷体"/>
          <w:b/>
          <w:sz w:val="32"/>
          <w:szCs w:val="32"/>
        </w:rPr>
      </w:pPr>
      <w:r>
        <w:rPr>
          <w:rFonts w:hint="eastAsia" w:ascii="楷体" w:hAnsi="楷体" w:eastAsia="楷体"/>
          <w:b/>
          <w:sz w:val="32"/>
          <w:szCs w:val="32"/>
        </w:rPr>
        <w:t>（三）大城管工作取得较好成绩</w:t>
      </w:r>
    </w:p>
    <w:p>
      <w:pPr>
        <w:snapToGrid w:val="0"/>
        <w:spacing w:before="100" w:beforeAutospacing="1" w:after="100" w:afterAutospacing="1" w:line="580" w:lineRule="atLeast"/>
        <w:ind w:firstLine="960" w:firstLineChars="300"/>
        <w:rPr>
          <w:rFonts w:ascii="仿宋" w:hAnsi="仿宋" w:eastAsia="仿宋"/>
          <w:sz w:val="32"/>
          <w:szCs w:val="32"/>
        </w:rPr>
      </w:pPr>
      <w:r>
        <w:rPr>
          <w:rFonts w:hint="eastAsia" w:ascii="仿宋" w:hAnsi="仿宋" w:eastAsia="仿宋"/>
          <w:sz w:val="32"/>
          <w:szCs w:val="32"/>
        </w:rPr>
        <w:t>开展拆违行动，全年拆除违建4万㎡以上，对违法建设实行“零容忍”。城管</w:t>
      </w:r>
      <w:r>
        <w:rPr>
          <w:rFonts w:ascii="仿宋" w:hAnsi="仿宋" w:eastAsia="仿宋"/>
          <w:sz w:val="32"/>
          <w:szCs w:val="32"/>
        </w:rPr>
        <w:t>对主次干道、重点违法占道摊点进行了全面清理，对道路两侧及重点部位、主要街道的</w:t>
      </w:r>
      <w:r>
        <w:rPr>
          <w:rFonts w:hint="eastAsia" w:ascii="仿宋" w:hAnsi="仿宋" w:eastAsia="仿宋"/>
          <w:sz w:val="32"/>
          <w:szCs w:val="32"/>
        </w:rPr>
        <w:t>违规招牌</w:t>
      </w:r>
      <w:r>
        <w:rPr>
          <w:rFonts w:ascii="仿宋" w:hAnsi="仿宋" w:eastAsia="仿宋"/>
          <w:sz w:val="32"/>
          <w:szCs w:val="32"/>
        </w:rPr>
        <w:t>和</w:t>
      </w:r>
      <w:r>
        <w:rPr>
          <w:rFonts w:hint="eastAsia" w:ascii="仿宋" w:hAnsi="仿宋" w:eastAsia="仿宋"/>
          <w:sz w:val="32"/>
          <w:szCs w:val="32"/>
        </w:rPr>
        <w:t>宣传条幅进行了</w:t>
      </w:r>
      <w:r>
        <w:rPr>
          <w:rFonts w:ascii="仿宋" w:hAnsi="仿宋" w:eastAsia="仿宋"/>
          <w:sz w:val="32"/>
          <w:szCs w:val="32"/>
        </w:rPr>
        <w:t>全面整治</w:t>
      </w:r>
      <w:r>
        <w:rPr>
          <w:rFonts w:hint="eastAsia" w:ascii="仿宋" w:hAnsi="仿宋" w:eastAsia="仿宋"/>
          <w:sz w:val="32"/>
          <w:szCs w:val="32"/>
        </w:rPr>
        <w:t>。生活垃圾实现了日产日清无积存，村湾环境明显改善。</w:t>
      </w:r>
    </w:p>
    <w:p>
      <w:pPr>
        <w:spacing w:line="460" w:lineRule="exact"/>
        <w:ind w:firstLine="640"/>
        <w:rPr>
          <w:rFonts w:ascii="仿宋" w:hAnsi="仿宋" w:eastAsia="仿宋"/>
          <w:b/>
          <w:sz w:val="32"/>
          <w:szCs w:val="32"/>
        </w:rPr>
      </w:pPr>
      <w:r>
        <w:rPr>
          <w:rFonts w:hint="eastAsia" w:ascii="楷体" w:hAnsi="楷体" w:eastAsia="楷体"/>
          <w:b/>
          <w:sz w:val="32"/>
          <w:szCs w:val="32"/>
        </w:rPr>
        <w:t>（四）加强湖泊保护</w:t>
      </w:r>
      <w:r>
        <w:rPr>
          <w:rFonts w:hint="eastAsia" w:ascii="仿宋" w:hAnsi="仿宋" w:eastAsia="仿宋"/>
          <w:b/>
          <w:sz w:val="32"/>
          <w:szCs w:val="32"/>
        </w:rPr>
        <w:t>，还群众“绿水青山”</w:t>
      </w:r>
    </w:p>
    <w:p>
      <w:pPr>
        <w:spacing w:line="460" w:lineRule="exact"/>
        <w:ind w:firstLine="640"/>
        <w:rPr>
          <w:rFonts w:ascii="仿宋" w:hAnsi="仿宋" w:eastAsia="仿宋"/>
          <w:b/>
          <w:sz w:val="32"/>
          <w:szCs w:val="32"/>
        </w:rPr>
      </w:pPr>
      <w:r>
        <w:rPr>
          <w:rFonts w:hint="eastAsia" w:ascii="仿宋" w:hAnsi="仿宋" w:eastAsia="仿宋"/>
          <w:sz w:val="32"/>
          <w:szCs w:val="32"/>
        </w:rPr>
        <w:t>加强滠水河综合治理。全面落实河长制，完成</w:t>
      </w:r>
      <w:r>
        <w:rPr>
          <w:rFonts w:hint="eastAsia" w:ascii="仿宋" w:hAnsi="仿宋" w:eastAsia="仿宋" w:cs="Times New Roman"/>
          <w:sz w:val="32"/>
          <w:szCs w:val="32"/>
        </w:rPr>
        <w:t>畜禽退养</w:t>
      </w:r>
      <w:r>
        <w:rPr>
          <w:rFonts w:hint="eastAsia" w:ascii="仿宋" w:hAnsi="仿宋" w:eastAsia="仿宋"/>
          <w:sz w:val="32"/>
          <w:szCs w:val="32"/>
        </w:rPr>
        <w:t>，共计完成拆除面积74999.61平方米，退养138户，猪退养35076头、鸡236180只。拆除小菜湖养殖户网箱4.8万平方米。加强污染环境小微企业拆除工作，查封违法建筑面积厂房二处共10732平方米。</w:t>
      </w:r>
    </w:p>
    <w:p>
      <w:pPr>
        <w:pStyle w:val="9"/>
        <w:numPr>
          <w:ilvl w:val="0"/>
          <w:numId w:val="1"/>
        </w:numPr>
        <w:snapToGrid w:val="0"/>
        <w:spacing w:before="100" w:beforeAutospacing="1" w:after="100" w:afterAutospacing="1" w:line="580" w:lineRule="atLeast"/>
        <w:ind w:firstLineChars="0"/>
        <w:rPr>
          <w:rFonts w:ascii="黑体" w:eastAsia="黑体"/>
          <w:sz w:val="32"/>
        </w:rPr>
      </w:pPr>
      <w:r>
        <w:rPr>
          <w:rFonts w:hint="eastAsia" w:ascii="黑体" w:eastAsia="黑体"/>
          <w:sz w:val="32"/>
        </w:rPr>
        <w:t>民生保障</w:t>
      </w:r>
    </w:p>
    <w:p>
      <w:pPr>
        <w:spacing w:line="460" w:lineRule="exact"/>
        <w:ind w:firstLine="803" w:firstLineChars="250"/>
        <w:rPr>
          <w:rFonts w:ascii="仿宋" w:hAnsi="仿宋" w:eastAsia="仿宋"/>
          <w:sz w:val="32"/>
          <w:szCs w:val="32"/>
        </w:rPr>
      </w:pPr>
      <w:r>
        <w:rPr>
          <w:rFonts w:hint="eastAsia" w:ascii="仿宋" w:hAnsi="仿宋" w:eastAsia="仿宋"/>
          <w:b/>
          <w:sz w:val="32"/>
          <w:szCs w:val="32"/>
        </w:rPr>
        <w:t>一是社会保障体系愈加完善。</w:t>
      </w:r>
      <w:r>
        <w:rPr>
          <w:rFonts w:hint="eastAsia" w:ascii="仿宋" w:hAnsi="仿宋" w:eastAsia="仿宋"/>
          <w:sz w:val="32"/>
          <w:szCs w:val="32"/>
        </w:rPr>
        <w:t>完善城乡低保体系，加大大病医疗救助和特困临时救助工作，五保供养做到应保尽保，足额保障。高标准完成被征地农民养老保险工作任务。做好城乡居保工作，在全区范围内率先打造续保工作短信平台，对未交费对象进行催费。解决失地农民就业难，组织大型招聘会1次，到会场人员1000多人，达成就业意愿500多人，让失地农民家门口就业。狠抓劳动监察，调查、受理欠薪案件30余起，清欠工资400多万元。调解劳资纠纷案件10余起，并达成调解协议。</w:t>
      </w:r>
    </w:p>
    <w:p>
      <w:pPr>
        <w:spacing w:line="460" w:lineRule="exact"/>
        <w:ind w:firstLine="643" w:firstLineChars="200"/>
        <w:rPr>
          <w:rFonts w:ascii="仿宋" w:hAnsi="仿宋" w:eastAsia="仿宋"/>
          <w:sz w:val="32"/>
          <w:szCs w:val="32"/>
        </w:rPr>
      </w:pPr>
      <w:r>
        <w:rPr>
          <w:rFonts w:hint="eastAsia" w:ascii="仿宋" w:hAnsi="仿宋" w:eastAsia="仿宋"/>
          <w:b/>
          <w:sz w:val="32"/>
          <w:szCs w:val="32"/>
        </w:rPr>
        <w:t>二是精准扶贫工作稳步推进。</w:t>
      </w:r>
      <w:r>
        <w:rPr>
          <w:rFonts w:hint="eastAsia" w:ascii="仿宋" w:hAnsi="仿宋" w:eastAsia="仿宋"/>
          <w:sz w:val="32"/>
          <w:szCs w:val="32"/>
        </w:rPr>
        <w:t>滠口街精准扶户273户558人，产业扶持的13户32人、技能培训转移的10户31人、政策兜底保障脱贫的217户409人、医疗救助扶持的26户67人、助学扶智帮扶的7户19人。今年上半年全街已补贫困户学生31户33人，现金4.145万元，下半年已为36户38人申报了精准扶贫户学生资助金，金额3.5万元。医疗救助方面基本实现了精准扶贫户本人无自费部分支出。</w:t>
      </w:r>
    </w:p>
    <w:p>
      <w:pPr>
        <w:pStyle w:val="9"/>
        <w:numPr>
          <w:ilvl w:val="0"/>
          <w:numId w:val="1"/>
        </w:numPr>
        <w:snapToGrid w:val="0"/>
        <w:spacing w:before="100" w:beforeAutospacing="1" w:after="100" w:afterAutospacing="1" w:line="580" w:lineRule="atLeast"/>
        <w:ind w:firstLineChars="0"/>
        <w:rPr>
          <w:rFonts w:ascii="黑体" w:hAnsi="黑体" w:eastAsia="黑体"/>
          <w:sz w:val="32"/>
        </w:rPr>
      </w:pPr>
      <w:r>
        <w:rPr>
          <w:rFonts w:hint="eastAsia" w:ascii="黑体" w:hAnsi="黑体" w:eastAsia="黑体"/>
          <w:sz w:val="32"/>
        </w:rPr>
        <w:t>制度建设</w:t>
      </w:r>
    </w:p>
    <w:p>
      <w:pPr>
        <w:spacing w:line="460" w:lineRule="exact"/>
        <w:ind w:firstLine="643" w:firstLineChars="200"/>
        <w:rPr>
          <w:rFonts w:ascii="仿宋" w:hAnsi="仿宋" w:eastAsia="仿宋"/>
          <w:sz w:val="32"/>
          <w:szCs w:val="32"/>
        </w:rPr>
      </w:pPr>
      <w:r>
        <w:rPr>
          <w:rFonts w:hint="eastAsia" w:ascii="仿宋" w:hAnsi="仿宋" w:eastAsia="仿宋"/>
          <w:b/>
          <w:sz w:val="32"/>
          <w:szCs w:val="32"/>
        </w:rPr>
        <w:t>一是强化学习教育，锤炼党性意识。突出领导带头学习。</w:t>
      </w:r>
      <w:r>
        <w:rPr>
          <w:rFonts w:hint="eastAsia" w:ascii="仿宋" w:hAnsi="仿宋" w:eastAsia="仿宋"/>
          <w:sz w:val="32"/>
          <w:szCs w:val="32"/>
        </w:rPr>
        <w:t>建立健全党工委理论学习中心组学习制度，定期组织学习习近平总书记系列重要讲话精神。</w:t>
      </w:r>
      <w:r>
        <w:rPr>
          <w:rFonts w:hint="eastAsia" w:ascii="仿宋" w:hAnsi="仿宋" w:eastAsia="仿宋"/>
          <w:b/>
          <w:sz w:val="32"/>
          <w:szCs w:val="32"/>
        </w:rPr>
        <w:t>构建业余党校每月主题教育培训。</w:t>
      </w:r>
      <w:r>
        <w:rPr>
          <w:rFonts w:hint="eastAsia" w:ascii="仿宋" w:hAnsi="仿宋" w:eastAsia="仿宋"/>
          <w:sz w:val="32"/>
          <w:szCs w:val="32"/>
        </w:rPr>
        <w:t>定期邀请专家学者来街，开展革命传统、理想信念、红色故事等教育培训。</w:t>
      </w:r>
      <w:r>
        <w:rPr>
          <w:rFonts w:hint="eastAsia" w:ascii="仿宋" w:hAnsi="仿宋" w:eastAsia="仿宋"/>
          <w:b/>
          <w:sz w:val="32"/>
          <w:szCs w:val="32"/>
        </w:rPr>
        <w:t>强化廉政警示教育。</w:t>
      </w:r>
      <w:r>
        <w:rPr>
          <w:rFonts w:hint="eastAsia" w:ascii="仿宋" w:hAnsi="仿宋" w:eastAsia="仿宋"/>
          <w:sz w:val="32"/>
          <w:szCs w:val="32"/>
        </w:rPr>
        <w:t>通过组织观看警示教育片、参观廉政教育基地、召开专题学习会、举办专题讲座等形式，加强对党员干部廉政警示教育。</w:t>
      </w:r>
    </w:p>
    <w:p>
      <w:pPr>
        <w:spacing w:line="460" w:lineRule="exact"/>
        <w:ind w:firstLine="643" w:firstLineChars="200"/>
        <w:rPr>
          <w:rFonts w:ascii="仿宋" w:hAnsi="仿宋" w:eastAsia="仿宋"/>
          <w:sz w:val="32"/>
          <w:szCs w:val="32"/>
        </w:rPr>
      </w:pPr>
      <w:r>
        <w:rPr>
          <w:rFonts w:hint="eastAsia" w:ascii="仿宋" w:hAnsi="仿宋" w:eastAsia="仿宋"/>
          <w:b/>
          <w:sz w:val="32"/>
          <w:szCs w:val="32"/>
        </w:rPr>
        <w:t>二是坚持统筹兼顾，夯实“红色堡垒”。</w:t>
      </w:r>
      <w:r>
        <w:rPr>
          <w:rFonts w:hint="eastAsia" w:ascii="仿宋" w:hAnsi="仿宋" w:eastAsia="仿宋"/>
          <w:sz w:val="32"/>
          <w:szCs w:val="32"/>
        </w:rPr>
        <w:t>持续推进党员干部能力提升工程，每月对街、村（社区）干部开展1次集中培训，着力拓宽工作思路、培养创新意识；加大发展年轻党员工作力度，及时把政治素质好，有培养前途的回乡创业青年、复员军人、致富带头人等作为重点培养对象，指定专人一对一联系培养。有针对性做好村（社区）后备力量的培养工作。建立健全领导干部联系非公企业党建工作制度，不定期上门帮助督导党建工作。</w:t>
      </w:r>
    </w:p>
    <w:p>
      <w:pPr>
        <w:spacing w:line="460" w:lineRule="exact"/>
        <w:ind w:firstLine="643" w:firstLineChars="200"/>
        <w:rPr>
          <w:rFonts w:ascii="仿宋" w:hAnsi="仿宋" w:eastAsia="仿宋"/>
          <w:sz w:val="32"/>
          <w:szCs w:val="32"/>
        </w:rPr>
      </w:pPr>
      <w:r>
        <w:rPr>
          <w:rFonts w:hint="eastAsia" w:ascii="仿宋" w:hAnsi="仿宋" w:eastAsia="仿宋"/>
          <w:b/>
          <w:sz w:val="32"/>
          <w:szCs w:val="32"/>
        </w:rPr>
        <w:t>三是搭建活动平台，激发党建活力。</w:t>
      </w:r>
      <w:r>
        <w:rPr>
          <w:rFonts w:hint="eastAsia" w:ascii="仿宋" w:hAnsi="仿宋" w:eastAsia="仿宋"/>
          <w:sz w:val="32"/>
          <w:szCs w:val="32"/>
        </w:rPr>
        <w:t>以“两学一做”学习教育为载体，积极开展符合街道实际和特色的“讲党性、守纪律、”“戴党徽、亮身份、树形象”等主题教育活动，以系列“组合拳”引导和鼓励广大党员干部转作风、勇担当、争一流。开展红色主题系列活动。用群众喜闻乐见的形式到村、社区开展丰富多彩的文化活动，繁荣辖区文化生活。目前已经举办</w:t>
      </w:r>
      <w:r>
        <w:rPr>
          <w:rFonts w:hint="eastAsia" w:ascii="仿宋" w:hAnsi="仿宋" w:eastAsia="仿宋"/>
          <w:sz w:val="32"/>
          <w:szCs w:val="32"/>
          <w:lang w:eastAsia="zh-CN"/>
        </w:rPr>
        <w:t>庆祝</w:t>
      </w:r>
      <w:bookmarkStart w:id="0" w:name="_GoBack"/>
      <w:bookmarkEnd w:id="0"/>
      <w:r>
        <w:rPr>
          <w:rFonts w:hint="eastAsia" w:ascii="仿宋" w:hAnsi="仿宋" w:eastAsia="仿宋"/>
          <w:sz w:val="32"/>
          <w:szCs w:val="32"/>
        </w:rPr>
        <w:t>建党96周年红色晚会3三场。结合“两学一做”学习教育，在党员中深入开展承诺、践诺活动，设置“党员示范岗”“党员先锋岗”等标志牌，对外公开承诺，亮处自己身份，定期开展自评、互评活动。</w:t>
      </w:r>
    </w:p>
    <w:p>
      <w:pPr>
        <w:snapToGrid w:val="0"/>
        <w:spacing w:before="100" w:beforeAutospacing="1" w:after="100" w:afterAutospacing="1" w:line="580" w:lineRule="atLeast"/>
        <w:rPr>
          <w:rFonts w:ascii="黑体" w:hAnsi="黑体" w:eastAsia="黑体"/>
          <w:sz w:val="32"/>
        </w:rPr>
      </w:pPr>
    </w:p>
    <w:p>
      <w:pPr>
        <w:pStyle w:val="9"/>
        <w:snapToGrid w:val="0"/>
        <w:spacing w:before="100" w:beforeAutospacing="1" w:after="100" w:afterAutospacing="1" w:line="580" w:lineRule="atLeast"/>
        <w:ind w:left="1369" w:firstLine="0" w:firstLineChars="0"/>
      </w:pPr>
    </w:p>
    <w:p>
      <w:pPr>
        <w:snapToGrid w:val="0"/>
        <w:spacing w:before="100" w:beforeAutospacing="1" w:after="100" w:afterAutospacing="1" w:line="580" w:lineRule="atLeast"/>
        <w:ind w:left="709"/>
      </w:pPr>
    </w:p>
    <w:p>
      <w:pPr>
        <w:snapToGrid w:val="0"/>
        <w:spacing w:before="100" w:beforeAutospacing="1" w:after="100" w:afterAutospacing="1" w:line="580" w:lineRule="atLeast"/>
        <w:ind w:firstLine="640"/>
      </w:pPr>
      <w:r>
        <w:rPr>
          <w:rFonts w:hint="eastAsia"/>
          <w:sz w:val="32"/>
          <w:szCs w:val="32"/>
        </w:rPr>
        <w:t> </w:t>
      </w:r>
    </w:p>
    <w:p>
      <w:pPr>
        <w:snapToGrid w:val="0"/>
        <w:spacing w:before="100" w:beforeAutospacing="1" w:after="100" w:afterAutospacing="1" w:line="580" w:lineRule="atLeast"/>
        <w:ind w:firstLine="640"/>
      </w:pPr>
      <w:r>
        <w:rPr>
          <w:rFonts w:hint="eastAsia"/>
          <w:sz w:val="32"/>
          <w:szCs w:val="32"/>
        </w:rPr>
        <w:t> </w:t>
      </w:r>
    </w:p>
    <w:tbl>
      <w:tblPr>
        <w:tblStyle w:val="5"/>
        <w:tblW w:w="0" w:type="auto"/>
        <w:tblInd w:w="0" w:type="dxa"/>
        <w:tblLayout w:type="autofit"/>
        <w:tblCellMar>
          <w:top w:w="0" w:type="dxa"/>
          <w:left w:w="0" w:type="dxa"/>
          <w:bottom w:w="0" w:type="dxa"/>
          <w:right w:w="0" w:type="dxa"/>
        </w:tblCellMar>
      </w:tblPr>
      <w:tblGrid>
        <w:gridCol w:w="1311"/>
        <w:gridCol w:w="1818"/>
        <w:gridCol w:w="2778"/>
        <w:gridCol w:w="2616"/>
      </w:tblGrid>
      <w:tr>
        <w:tblPrEx>
          <w:tblCellMar>
            <w:top w:w="0" w:type="dxa"/>
            <w:left w:w="0" w:type="dxa"/>
            <w:bottom w:w="0" w:type="dxa"/>
            <w:right w:w="0" w:type="dxa"/>
          </w:tblCellMar>
        </w:tblPrEx>
        <w:trPr>
          <w:trHeight w:val="1026" w:hRule="atLeast"/>
        </w:trPr>
        <w:tc>
          <w:tcPr>
            <w:tcW w:w="13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ascii="黑体" w:hAnsi="黑体" w:eastAsia="黑体"/>
                <w:sz w:val="32"/>
                <w:szCs w:val="32"/>
              </w:rPr>
              <w:t>序号</w:t>
            </w:r>
          </w:p>
        </w:tc>
        <w:tc>
          <w:tcPr>
            <w:tcW w:w="19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ascii="仿宋_GB2312" w:eastAsia="仿宋_GB2312"/>
                <w:sz w:val="32"/>
                <w:szCs w:val="32"/>
              </w:rPr>
              <w:t>重要事项</w:t>
            </w:r>
          </w:p>
        </w:tc>
        <w:tc>
          <w:tcPr>
            <w:tcW w:w="3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ascii="仿宋_GB2312" w:eastAsia="仿宋_GB2312"/>
                <w:sz w:val="32"/>
                <w:szCs w:val="32"/>
              </w:rPr>
              <w:t>工作内容及目标</w:t>
            </w:r>
          </w:p>
        </w:tc>
        <w:tc>
          <w:tcPr>
            <w:tcW w:w="28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ascii="仿宋_GB2312" w:eastAsia="仿宋_GB2312"/>
                <w:sz w:val="32"/>
                <w:szCs w:val="32"/>
              </w:rPr>
              <w:t>完成情况</w:t>
            </w:r>
          </w:p>
        </w:tc>
      </w:tr>
      <w:tr>
        <w:tblPrEx>
          <w:tblCellMar>
            <w:top w:w="0" w:type="dxa"/>
            <w:left w:w="0" w:type="dxa"/>
            <w:bottom w:w="0" w:type="dxa"/>
            <w:right w:w="0" w:type="dxa"/>
          </w:tblCellMar>
        </w:tblPrEx>
        <w:trPr>
          <w:trHeight w:val="906" w:hRule="atLeast"/>
        </w:trPr>
        <w:tc>
          <w:tcPr>
            <w:tcW w:w="13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sz w:val="32"/>
                <w:szCs w:val="32"/>
              </w:rPr>
              <w:t>1</w:t>
            </w:r>
          </w:p>
        </w:tc>
        <w:tc>
          <w:tcPr>
            <w:tcW w:w="1980"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sz w:val="32"/>
                <w:szCs w:val="32"/>
              </w:rPr>
              <w:t> </w:t>
            </w:r>
          </w:p>
        </w:tc>
        <w:tc>
          <w:tcPr>
            <w:tcW w:w="3060"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sz w:val="32"/>
                <w:szCs w:val="32"/>
              </w:rPr>
              <w:t> </w:t>
            </w:r>
          </w:p>
        </w:tc>
        <w:tc>
          <w:tcPr>
            <w:tcW w:w="287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sz w:val="32"/>
                <w:szCs w:val="32"/>
              </w:rPr>
              <w:t> </w:t>
            </w:r>
          </w:p>
        </w:tc>
      </w:tr>
      <w:tr>
        <w:tblPrEx>
          <w:tblCellMar>
            <w:top w:w="0" w:type="dxa"/>
            <w:left w:w="0" w:type="dxa"/>
            <w:bottom w:w="0" w:type="dxa"/>
            <w:right w:w="0" w:type="dxa"/>
          </w:tblCellMar>
        </w:tblPrEx>
        <w:trPr>
          <w:trHeight w:val="932" w:hRule="atLeast"/>
        </w:trPr>
        <w:tc>
          <w:tcPr>
            <w:tcW w:w="13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sz w:val="32"/>
                <w:szCs w:val="32"/>
              </w:rPr>
              <w:t>2</w:t>
            </w:r>
          </w:p>
        </w:tc>
        <w:tc>
          <w:tcPr>
            <w:tcW w:w="1980"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sz w:val="32"/>
                <w:szCs w:val="32"/>
              </w:rPr>
              <w:t> </w:t>
            </w:r>
          </w:p>
        </w:tc>
        <w:tc>
          <w:tcPr>
            <w:tcW w:w="3060"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sz w:val="32"/>
                <w:szCs w:val="32"/>
              </w:rPr>
              <w:t> </w:t>
            </w:r>
          </w:p>
        </w:tc>
        <w:tc>
          <w:tcPr>
            <w:tcW w:w="287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sz w:val="32"/>
                <w:szCs w:val="32"/>
              </w:rPr>
              <w:t> </w:t>
            </w:r>
          </w:p>
        </w:tc>
      </w:tr>
      <w:tr>
        <w:tblPrEx>
          <w:tblCellMar>
            <w:top w:w="0" w:type="dxa"/>
            <w:left w:w="0" w:type="dxa"/>
            <w:bottom w:w="0" w:type="dxa"/>
            <w:right w:w="0" w:type="dxa"/>
          </w:tblCellMar>
        </w:tblPrEx>
        <w:trPr>
          <w:trHeight w:val="1227" w:hRule="atLeast"/>
        </w:trPr>
        <w:tc>
          <w:tcPr>
            <w:tcW w:w="13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ascii="楷体_GB2312" w:eastAsia="楷体_GB2312"/>
                <w:sz w:val="32"/>
                <w:szCs w:val="32"/>
              </w:rPr>
              <w:t>3</w:t>
            </w:r>
          </w:p>
        </w:tc>
        <w:tc>
          <w:tcPr>
            <w:tcW w:w="1980"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sz w:val="32"/>
                <w:szCs w:val="32"/>
              </w:rPr>
              <w:t> </w:t>
            </w:r>
          </w:p>
        </w:tc>
        <w:tc>
          <w:tcPr>
            <w:tcW w:w="3060"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sz w:val="32"/>
                <w:szCs w:val="32"/>
              </w:rPr>
              <w:t> </w:t>
            </w:r>
          </w:p>
        </w:tc>
        <w:tc>
          <w:tcPr>
            <w:tcW w:w="287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sz w:val="32"/>
                <w:szCs w:val="32"/>
              </w:rPr>
              <w:t> </w:t>
            </w:r>
          </w:p>
        </w:tc>
      </w:tr>
      <w:tr>
        <w:tblPrEx>
          <w:tblCellMar>
            <w:top w:w="0" w:type="dxa"/>
            <w:left w:w="0" w:type="dxa"/>
            <w:bottom w:w="0" w:type="dxa"/>
            <w:right w:w="0" w:type="dxa"/>
          </w:tblCellMar>
        </w:tblPrEx>
        <w:trPr>
          <w:trHeight w:val="1385" w:hRule="atLeast"/>
        </w:trPr>
        <w:tc>
          <w:tcPr>
            <w:tcW w:w="13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ascii="楷体_GB2312" w:eastAsia="楷体_GB2312"/>
                <w:sz w:val="32"/>
                <w:szCs w:val="32"/>
              </w:rPr>
              <w:t>……</w:t>
            </w:r>
          </w:p>
        </w:tc>
        <w:tc>
          <w:tcPr>
            <w:tcW w:w="1980"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sz w:val="32"/>
                <w:szCs w:val="32"/>
              </w:rPr>
              <w:t> </w:t>
            </w:r>
          </w:p>
        </w:tc>
        <w:tc>
          <w:tcPr>
            <w:tcW w:w="3060"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sz w:val="32"/>
                <w:szCs w:val="32"/>
              </w:rPr>
              <w:t> </w:t>
            </w:r>
          </w:p>
        </w:tc>
        <w:tc>
          <w:tcPr>
            <w:tcW w:w="287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pPr>
            <w:r>
              <w:rPr>
                <w:rFonts w:hint="eastAsia"/>
                <w:sz w:val="32"/>
                <w:szCs w:val="32"/>
              </w:rPr>
              <w:t> </w:t>
            </w:r>
          </w:p>
        </w:tc>
      </w:tr>
    </w:tbl>
    <w:p>
      <w:pPr>
        <w:snapToGrid w:val="0"/>
        <w:spacing w:before="100" w:beforeAutospacing="1" w:after="100" w:afterAutospacing="1"/>
        <w:jc w:val="center"/>
      </w:pPr>
      <w:r>
        <w:rPr>
          <w:rFonts w:hint="eastAsia"/>
          <w:sz w:val="44"/>
          <w:szCs w:val="44"/>
        </w:rPr>
        <w:t> </w:t>
      </w:r>
    </w:p>
    <w:p>
      <w:pPr>
        <w:snapToGrid w:val="0"/>
        <w:spacing w:before="100" w:beforeAutospacing="1" w:after="100" w:afterAutospacing="1"/>
      </w:pPr>
      <w:r>
        <w:rPr>
          <w:rFonts w:hint="eastAsia"/>
          <w:sz w:val="32"/>
          <w:szCs w:val="32"/>
        </w:rPr>
        <w:t> </w:t>
      </w:r>
      <w:r>
        <w:rPr>
          <w:rFonts w:hint="eastAsia" w:ascii="仿宋_GB2312" w:eastAsia="仿宋_GB2312"/>
          <w:sz w:val="32"/>
          <w:szCs w:val="32"/>
        </w:rPr>
        <w:t xml:space="preserve"> </w:t>
      </w:r>
    </w:p>
    <w:p>
      <w:pPr>
        <w:snapToGrid w:val="0"/>
        <w:spacing w:before="100" w:beforeAutospacing="1" w:after="100" w:afterAutospacing="1"/>
        <w:jc w:val="center"/>
      </w:pPr>
      <w:r>
        <w:rPr>
          <w:rFonts w:hint="eastAsia"/>
          <w:b/>
          <w:bCs/>
          <w:sz w:val="32"/>
          <w:szCs w:val="32"/>
        </w:rPr>
        <w:t>第五部分 </w:t>
      </w:r>
      <w:r>
        <w:rPr>
          <w:rFonts w:hint="eastAsia" w:ascii="仿宋_GB2312" w:eastAsia="仿宋_GB2312"/>
          <w:b/>
          <w:bCs/>
          <w:sz w:val="32"/>
          <w:szCs w:val="32"/>
        </w:rPr>
        <w:t xml:space="preserve"> </w:t>
      </w:r>
      <w:r>
        <w:rPr>
          <w:rFonts w:hint="eastAsia"/>
          <w:b/>
          <w:bCs/>
          <w:sz w:val="32"/>
          <w:szCs w:val="32"/>
        </w:rPr>
        <w:t>名词解释</w:t>
      </w:r>
    </w:p>
    <w:p>
      <w:pPr>
        <w:snapToGrid w:val="0"/>
        <w:spacing w:before="100" w:beforeAutospacing="1" w:after="100" w:afterAutospacing="1" w:line="580" w:lineRule="atLeast"/>
        <w:ind w:firstLine="640"/>
      </w:pPr>
      <w:r>
        <w:rPr>
          <w:rFonts w:hint="eastAsia" w:ascii="仿宋_GB2312" w:eastAsia="仿宋_GB2312"/>
          <w:sz w:val="32"/>
          <w:szCs w:val="32"/>
        </w:rPr>
        <w:t>(一)财政拨款收入：指单位从本级财政部门取得的财政拨款。</w:t>
      </w:r>
    </w:p>
    <w:p>
      <w:pPr>
        <w:snapToGrid w:val="0"/>
        <w:spacing w:before="100" w:beforeAutospacing="1" w:after="100" w:afterAutospacing="1" w:line="580" w:lineRule="atLeast"/>
        <w:ind w:firstLine="640"/>
      </w:pPr>
      <w:r>
        <w:rPr>
          <w:rFonts w:hint="eastAsia" w:ascii="仿宋_GB2312" w:eastAsia="仿宋_GB2312"/>
          <w:sz w:val="32"/>
          <w:szCs w:val="32"/>
        </w:rPr>
        <w:t>(二)上级补助收入：指从主管部门和上级单位取得的非财政补助收入。</w:t>
      </w:r>
    </w:p>
    <w:p>
      <w:pPr>
        <w:snapToGrid w:val="0"/>
        <w:spacing w:before="100" w:beforeAutospacing="1" w:after="100" w:afterAutospacing="1" w:line="580" w:lineRule="atLeast"/>
        <w:ind w:firstLine="640"/>
      </w:pPr>
      <w:r>
        <w:rPr>
          <w:rFonts w:hint="eastAsia" w:ascii="仿宋_GB2312" w:eastAsia="仿宋_GB2312"/>
          <w:sz w:val="32"/>
          <w:szCs w:val="32"/>
        </w:rPr>
        <w:t>(三)事业收入：指事业单位开展专业业务活动及其辅助活动取得的收入。</w:t>
      </w:r>
    </w:p>
    <w:p>
      <w:pPr>
        <w:snapToGrid w:val="0"/>
        <w:spacing w:before="100" w:beforeAutospacing="1" w:after="100" w:afterAutospacing="1" w:line="580" w:lineRule="atLeast"/>
        <w:ind w:firstLine="640"/>
      </w:pPr>
      <w:r>
        <w:rPr>
          <w:rFonts w:hint="eastAsia" w:ascii="仿宋_GB2312" w:eastAsia="仿宋_GB2312"/>
          <w:sz w:val="32"/>
          <w:szCs w:val="32"/>
        </w:rPr>
        <w:t>(四)经营收入：指事业单位在专业业务活动及其辅助活动之外开展非独立核算经营活动取得的收入。</w:t>
      </w:r>
    </w:p>
    <w:p>
      <w:pPr>
        <w:snapToGrid w:val="0"/>
        <w:spacing w:before="100" w:beforeAutospacing="1" w:after="100" w:afterAutospacing="1" w:line="580" w:lineRule="atLeast"/>
        <w:ind w:firstLine="640"/>
      </w:pPr>
      <w:r>
        <w:rPr>
          <w:rFonts w:hint="eastAsia" w:ascii="仿宋_GB2312" w:eastAsia="仿宋_GB2312"/>
          <w:sz w:val="32"/>
          <w:szCs w:val="32"/>
        </w:rPr>
        <w:t>(五)其他收入：单位取得的除上述收入以外的各项收入，包括未纳入财政预算或财政专户管理的投资收益、银行存款利息收入、租金收入、捐赠收入，现金盘盈收入、存货盘盈收入、收回已核销应收及预付款项、无法偿付的应付及预收款项等。</w:t>
      </w:r>
    </w:p>
    <w:p>
      <w:pPr>
        <w:snapToGrid w:val="0"/>
        <w:spacing w:before="100" w:beforeAutospacing="1" w:after="100" w:afterAutospacing="1" w:line="580" w:lineRule="atLeast"/>
        <w:ind w:firstLine="640"/>
      </w:pPr>
      <w:r>
        <w:rPr>
          <w:rFonts w:hint="eastAsia" w:ascii="仿宋_GB2312" w:eastAsia="仿宋_GB2312"/>
          <w:sz w:val="32"/>
          <w:szCs w:val="32"/>
        </w:rPr>
        <w:t>(六)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napToGrid w:val="0"/>
        <w:spacing w:before="100" w:beforeAutospacing="1" w:after="100" w:afterAutospacing="1" w:line="580" w:lineRule="atLeast"/>
        <w:ind w:firstLine="640"/>
      </w:pPr>
      <w:r>
        <w:rPr>
          <w:rFonts w:hint="eastAsia" w:ascii="仿宋_GB2312" w:eastAsia="仿宋_GB2312"/>
          <w:sz w:val="32"/>
          <w:szCs w:val="32"/>
        </w:rPr>
        <w:t>(七)年初结转和结余：指以前年度尚未完成、结转到本年按有关规定继续使用的资金。</w:t>
      </w:r>
    </w:p>
    <w:p>
      <w:pPr>
        <w:snapToGrid w:val="0"/>
        <w:spacing w:before="100" w:beforeAutospacing="1" w:after="100" w:afterAutospacing="1" w:line="580" w:lineRule="atLeast"/>
        <w:ind w:firstLine="640"/>
      </w:pPr>
      <w:r>
        <w:rPr>
          <w:rFonts w:hint="eastAsia" w:ascii="仿宋_GB2312" w:eastAsia="仿宋_GB2312"/>
          <w:sz w:val="32"/>
          <w:szCs w:val="32"/>
        </w:rPr>
        <w:t>(八)各支出功能分类科目(到项级)</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bCs/>
          <w:kern w:val="44"/>
          <w:sz w:val="32"/>
          <w:szCs w:val="32"/>
        </w:rPr>
        <w:t>1.</w:t>
      </w:r>
      <w:r>
        <w:rPr>
          <w:rFonts w:hint="eastAsia" w:ascii="仿宋_GB2312" w:eastAsia="仿宋_GB2312"/>
          <w:sz w:val="32"/>
          <w:szCs w:val="32"/>
        </w:rPr>
        <w:t>一般公共服务(类)政府办公厅（室）及相关机构事务(款)行政运行(项)：反映行政单位（包括实行公务员管理的事业单位）的基本支出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2一般公共服务(类)政府办公厅（室）及相关机构事务(款)一般行政管理事务（项）：反映行政单位（包括实行公务员管理的事业单位）未单独设置项级科目的其他项目支出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3一般公共服务(类)财政事务(款)事业运行（项）：反映事业单位的基本支出，不包括行政单位（包括实行公务员管理的事业单位）后勤服务中心、医务室等附属单位。</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4一般公共服务(类)纪检监察事务(款)其他纪检监察事务（项）：反映其他纪检监察事务方面的支出。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5一般公共服务(类) 其他一般公共服务(款)其他一般公共服务（项）：反应其他的一般公共服务支出。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6文化体育与传媒支出(类) 文化 (款)其他文化支出（项）：反映其他用于文化方面的支出。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7社会保障与就业支出(类) 民政管理事务 (款)基础政权与社区建设（项）：反映村民自治、村务公开等基层政权和社区建设工作的支出。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8社会保障与就业支出(类) 行政事业单位离退休 (款) 归口管理的行政单位离退休（项）：反映施行归口管理的行政单位（包括实行公务员管理的事业单位）开支的离退休经费。</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9社会保障与就业支出(类) 行政事业单位离退休 (款) 事业单位离退休（项）：反映实行归口管理的事业单位开支的离退休经费。</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10社会保障与就业支出(类) 就业补助 (款) 公益性岗位补贴（项）：反映财政对符合条件的就业困难人员在公益性岗位就业给与的岗位补贴支出。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11社会保障与就业支出(类) 抚恤(款) 其他优抚支出（项）：反映其他用于优抚方面的支出。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12医疗卫生与计划生育支出(类) 计划生育事务(款) 其他计划生育事务支出（项）：反映其他用于计划生育事务管理方面的支出。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13城乡社区支出(类) 城乡社区公共设施(款) 小城镇基础设施建设（项）：反映用于小城镇路、气、水、电等基本建设方面的支出。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14农林水支出(类) 农业(款) 事业运行（项）：反映用于农业事业单位基本支出，事业单位设施，系统运行与资产维护等方面的支出。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15农林水支出(类) 农村综合改革(款) 对村民委员会和村党支部的补助（项）：反映各级财政对村民委员会和党支部的补助支出，以及支持建立县级基本财力保障机制安排的村级组织运转奖补资金。</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16农林水支出(类) 农村综合改革(款) 其他农村综合改革支出（项）：反映其他用于农村综合改革方面的支出。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17国土海洋气象等支出(类) 国土资源事务(款) 其他国土资源事务支出（项）：反映其他用于国土资源事务方面的支出。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18住房保障支出(类) 住房改革支出(款) 住房公积金（项）：反映行政事业单位按人力资源和社会保障部、财政部规定的基本工资和津贴补贴以及规定比例为职工缴纳的住房公积金。</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19住房保障支出(类) 住房改革支出(款) 提租补贴（项）：反映按房改政策规定的标准，行政事业单位向职工（含离退休人员）发放的租金补贴。</w:t>
      </w:r>
    </w:p>
    <w:p>
      <w:pPr>
        <w:snapToGrid w:val="0"/>
        <w:spacing w:before="100" w:beforeAutospacing="1" w:after="100" w:afterAutospacing="1" w:line="580" w:lineRule="atLeast"/>
        <w:ind w:firstLine="640"/>
      </w:pPr>
      <w:r>
        <w:rPr>
          <w:rFonts w:hint="eastAsia" w:ascii="仿宋_GB2312" w:eastAsia="仿宋_GB2312"/>
          <w:sz w:val="32"/>
          <w:szCs w:val="32"/>
        </w:rPr>
        <w:t xml:space="preserve"> (九)结余分配：指事业单位按照会计制度规定缴纳的所得税以及从非财政补助结余中提取的职工福利基金、事业基金等。</w:t>
      </w:r>
    </w:p>
    <w:p>
      <w:pPr>
        <w:snapToGrid w:val="0"/>
        <w:spacing w:before="100" w:beforeAutospacing="1" w:after="100" w:afterAutospacing="1" w:line="580" w:lineRule="atLeast"/>
        <w:ind w:firstLine="640"/>
      </w:pPr>
      <w:r>
        <w:rPr>
          <w:rFonts w:hint="eastAsia" w:ascii="仿宋_GB2312" w:eastAsia="仿宋_GB2312"/>
          <w:sz w:val="32"/>
          <w:szCs w:val="32"/>
        </w:rPr>
        <w:t>(十)年末结转和结余：指单位按有关规定结转到下年或以后年度继续使用的资金。</w:t>
      </w:r>
    </w:p>
    <w:p>
      <w:pPr>
        <w:snapToGrid w:val="0"/>
        <w:spacing w:before="100" w:beforeAutospacing="1" w:after="100" w:afterAutospacing="1" w:line="580" w:lineRule="atLeast"/>
        <w:ind w:firstLine="640"/>
      </w:pPr>
      <w:r>
        <w:rPr>
          <w:rFonts w:hint="eastAsia" w:ascii="仿宋_GB2312" w:eastAsia="仿宋_GB2312"/>
          <w:sz w:val="32"/>
          <w:szCs w:val="32"/>
        </w:rPr>
        <w:t>(十一)基本支出：指单位为保障其机构正常运转、完成日常工作任务而发生的人员支出和公用支出。</w:t>
      </w:r>
    </w:p>
    <w:p>
      <w:pPr>
        <w:snapToGrid w:val="0"/>
        <w:spacing w:before="100" w:beforeAutospacing="1" w:after="100" w:afterAutospacing="1" w:line="580" w:lineRule="atLeast"/>
        <w:ind w:firstLine="640"/>
      </w:pPr>
      <w:r>
        <w:rPr>
          <w:rFonts w:hint="eastAsia" w:ascii="仿宋_GB2312" w:eastAsia="仿宋_GB2312"/>
          <w:sz w:val="32"/>
          <w:szCs w:val="32"/>
        </w:rPr>
        <w:t>(十二)项目支出：指单位为完成特定行政任务和事业发展目标在基本支出之外所发生的支出。</w:t>
      </w:r>
    </w:p>
    <w:p>
      <w:pPr>
        <w:snapToGrid w:val="0"/>
        <w:spacing w:before="100" w:beforeAutospacing="1" w:after="100" w:afterAutospacing="1" w:line="580" w:lineRule="atLeast"/>
        <w:ind w:firstLine="640"/>
      </w:pPr>
      <w:r>
        <w:rPr>
          <w:rFonts w:hint="eastAsia" w:ascii="仿宋_GB2312" w:eastAsia="仿宋_GB2312"/>
          <w:sz w:val="32"/>
          <w:szCs w:val="32"/>
        </w:rPr>
        <w:t>(十三)经营支出：指事业单位在专业活动及辅助活动之外开展非独立核算经营活动发生的支出。</w:t>
      </w:r>
    </w:p>
    <w:p>
      <w:pPr>
        <w:snapToGrid w:val="0"/>
        <w:spacing w:before="100" w:beforeAutospacing="1" w:after="100" w:afterAutospacing="1" w:line="580" w:lineRule="atLeast"/>
        <w:ind w:firstLine="640"/>
      </w:pPr>
      <w:r>
        <w:rPr>
          <w:rFonts w:hint="eastAsia" w:ascii="仿宋_GB2312" w:eastAsia="仿宋_GB2312"/>
          <w:sz w:val="32"/>
          <w:szCs w:val="32"/>
        </w:rPr>
        <w:t>(十四)“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费用。</w:t>
      </w:r>
    </w:p>
    <w:p>
      <w:pPr>
        <w:snapToGrid w:val="0"/>
        <w:spacing w:before="100" w:beforeAutospacing="1" w:after="100" w:afterAutospacing="1" w:line="580" w:lineRule="atLeast"/>
        <w:ind w:firstLine="640"/>
      </w:pPr>
      <w:r>
        <w:rPr>
          <w:rFonts w:hint="eastAsia" w:ascii="仿宋_GB2312" w:eastAsia="仿宋_GB2312"/>
          <w:sz w:val="32"/>
          <w:szCs w:val="32"/>
        </w:rPr>
        <w:t>(十五)机 关运行经费：指为保障行政单位（含参照公务员法管理的事业单位）运行用于购买货物和服务的各项资金，包括办公及印刷费、邮电费、差旅费、会议费、福利费、 日常维修费、专用材料及一般设备购置费、办公用房水电费、办公用房物业管理费、委托业务费、公务用车运行维护费以及其他费用。</w:t>
      </w:r>
    </w:p>
    <w:p>
      <w:pPr>
        <w:spacing w:before="100" w:beforeAutospacing="1" w:after="100" w:afterAutospacing="1"/>
      </w:pPr>
      <w:r>
        <w:rPr>
          <w:rFonts w:hint="eastAsia"/>
          <w:sz w:val="32"/>
          <w:szCs w:val="32"/>
        </w:rPr>
        <w:t xml:space="preserve">   </w:t>
      </w:r>
      <w:r>
        <w:rPr>
          <w:rFonts w:hint="eastAsia" w:ascii="仿宋_GB2312" w:eastAsia="仿宋_GB2312"/>
          <w:sz w:val="32"/>
          <w:szCs w:val="32"/>
        </w:rPr>
        <w:t>(十六)各单位其他专用名词解释。</w:t>
      </w: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3D67D1"/>
    <w:multiLevelType w:val="multilevel"/>
    <w:tmpl w:val="753D67D1"/>
    <w:lvl w:ilvl="0" w:tentative="0">
      <w:start w:val="1"/>
      <w:numFmt w:val="japaneseCounting"/>
      <w:lvlText w:val="%1、"/>
      <w:lvlJc w:val="left"/>
      <w:pPr>
        <w:ind w:left="1369"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ZWRkZmJlYWE5MzRjMjhmN2U5MjhmYzgxZDhkNWEifQ=="/>
  </w:docVars>
  <w:rsids>
    <w:rsidRoot w:val="00350522"/>
    <w:rsid w:val="002067EA"/>
    <w:rsid w:val="00350522"/>
    <w:rsid w:val="003767C1"/>
    <w:rsid w:val="003B0F6C"/>
    <w:rsid w:val="004F6773"/>
    <w:rsid w:val="00502655"/>
    <w:rsid w:val="00604189"/>
    <w:rsid w:val="00615944"/>
    <w:rsid w:val="00640FDF"/>
    <w:rsid w:val="006979DE"/>
    <w:rsid w:val="00715767"/>
    <w:rsid w:val="008B4634"/>
    <w:rsid w:val="009137D1"/>
    <w:rsid w:val="009C3699"/>
    <w:rsid w:val="00B07C47"/>
    <w:rsid w:val="00C21092"/>
    <w:rsid w:val="00C73CF9"/>
    <w:rsid w:val="00DE5B98"/>
    <w:rsid w:val="00DF55D2"/>
    <w:rsid w:val="00F111C7"/>
    <w:rsid w:val="00F40C5C"/>
    <w:rsid w:val="00F43F8C"/>
    <w:rsid w:val="20CB4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spacing w:before="100" w:beforeAutospacing="1" w:after="100" w:afterAutospacing="1"/>
    </w:pPr>
  </w:style>
  <w:style w:type="character" w:customStyle="1" w:styleId="7">
    <w:name w:val="页眉 Char"/>
    <w:basedOn w:val="6"/>
    <w:link w:val="3"/>
    <w:semiHidden/>
    <w:uiPriority w:val="99"/>
    <w:rPr>
      <w:rFonts w:ascii="宋体" w:hAnsi="宋体" w:eastAsia="宋体" w:cs="宋体"/>
      <w:sz w:val="18"/>
      <w:szCs w:val="18"/>
    </w:rPr>
  </w:style>
  <w:style w:type="character" w:customStyle="1" w:styleId="8">
    <w:name w:val="页脚 Char"/>
    <w:basedOn w:val="6"/>
    <w:link w:val="2"/>
    <w:semiHidden/>
    <w:uiPriority w:val="99"/>
    <w:rPr>
      <w:rFonts w:ascii="宋体" w:hAnsi="宋体" w:eastAsia="宋体" w:cs="宋体"/>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1542</Words>
  <Characters>8791</Characters>
  <Lines>73</Lines>
  <Paragraphs>20</Paragraphs>
  <TotalTime>1</TotalTime>
  <ScaleCrop>false</ScaleCrop>
  <LinksUpToDate>false</LinksUpToDate>
  <CharactersWithSpaces>10313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2023-11-02T03:34:00Z</dcterms:created>
  <dc:creator>Administrator</dc:creator>
  <cp:lastModifiedBy>大鱼</cp:lastModifiedBy>
  <dcterms:modified xsi:type="dcterms:W3CDTF">2024-05-08T01:15:35Z</dcterms:modified>
  <dc:title>DWZDM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D76C2FB1B0094BBE8713E3A4B452FAB8_12</vt:lpwstr>
  </property>
</Properties>
</file>