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500" w:lineRule="exact"/>
        <w:jc w:val="center"/>
        <w:rPr>
          <w:rFonts w:hint="eastAsia" w:ascii="黑体" w:hAnsi="黑体" w:eastAsia="黑体" w:cs="Times New Roman"/>
          <w:sz w:val="36"/>
          <w:szCs w:val="36"/>
          <w:lang w:eastAsia="zh-CN"/>
        </w:rPr>
      </w:pPr>
      <w:r>
        <w:rPr>
          <w:rFonts w:ascii="黑体" w:hAnsi="黑体" w:eastAsia="黑体" w:cs="Times New Roman"/>
          <w:sz w:val="36"/>
          <w:szCs w:val="36"/>
        </w:rPr>
        <w:t>黄陂区长轩岭街道党员群众服务中心2023年</w:t>
      </w:r>
      <w:r>
        <w:rPr>
          <w:rFonts w:hint="eastAsia" w:ascii="黑体" w:hAnsi="黑体" w:eastAsia="黑体" w:cs="Times New Roman"/>
          <w:sz w:val="36"/>
          <w:szCs w:val="36"/>
          <w:lang w:val="en-US" w:eastAsia="zh-CN"/>
        </w:rPr>
        <w:t>单位</w:t>
      </w:r>
    </w:p>
    <w:p>
      <w:pPr>
        <w:widowControl/>
        <w:spacing w:before="312" w:beforeLines="100" w:line="500" w:lineRule="exact"/>
        <w:jc w:val="center"/>
        <w:rPr>
          <w:rFonts w:ascii="黑体" w:hAnsi="黑体" w:eastAsia="黑体" w:cs="Times New Roman"/>
          <w:sz w:val="36"/>
          <w:szCs w:val="36"/>
        </w:rPr>
      </w:pPr>
      <w:r>
        <w:rPr>
          <w:rFonts w:ascii="黑体" w:hAnsi="黑体" w:eastAsia="黑体" w:cs="Times New Roman"/>
          <w:sz w:val="36"/>
          <w:szCs w:val="36"/>
        </w:rPr>
        <w:t>预算编制说明</w:t>
      </w:r>
    </w:p>
    <w:p>
      <w:pPr>
        <w:widowControl/>
        <w:spacing w:before="312" w:beforeLines="100" w:line="500" w:lineRule="exact"/>
        <w:jc w:val="center"/>
        <w:rPr>
          <w:rFonts w:hint="eastAsia" w:ascii="黑体" w:hAnsi="黑体" w:eastAsia="黑体"/>
          <w:sz w:val="36"/>
          <w:szCs w:val="36"/>
        </w:rPr>
      </w:pPr>
    </w:p>
    <w:p>
      <w:pPr>
        <w:widowControl/>
        <w:spacing w:before="312" w:beforeLines="100" w:line="500" w:lineRule="exact"/>
        <w:jc w:val="center"/>
        <w:rPr>
          <w:rFonts w:hint="eastAsia" w:ascii="黑体" w:hAnsi="黑体" w:eastAsia="黑体"/>
          <w:sz w:val="36"/>
          <w:szCs w:val="36"/>
        </w:rPr>
      </w:pPr>
      <w:r>
        <w:rPr>
          <w:rFonts w:hint="eastAsia" w:ascii="黑体" w:hAnsi="黑体" w:eastAsia="黑体"/>
          <w:sz w:val="36"/>
          <w:szCs w:val="36"/>
        </w:rPr>
        <w:t>目</w:t>
      </w:r>
      <w:r>
        <w:rPr>
          <w:rFonts w:ascii="Calibri" w:hAnsi="Calibri" w:eastAsia="黑体" w:cs="Calibri"/>
          <w:sz w:val="36"/>
          <w:szCs w:val="36"/>
        </w:rPr>
        <w:t> </w:t>
      </w:r>
      <w:r>
        <w:rPr>
          <w:rFonts w:hint="eastAsia" w:ascii="黑体" w:hAnsi="黑体" w:eastAsia="黑体"/>
          <w:sz w:val="36"/>
          <w:szCs w:val="36"/>
        </w:rPr>
        <w:t xml:space="preserve">    录</w:t>
      </w:r>
    </w:p>
    <w:p>
      <w:pPr>
        <w:pStyle w:val="6"/>
      </w:pPr>
    </w:p>
    <w:p>
      <w:pPr>
        <w:keepNext w:val="0"/>
        <w:keepLines w:val="0"/>
        <w:pageBreakBefore w:val="0"/>
        <w:widowControl/>
        <w:kinsoku/>
        <w:wordWrap/>
        <w:overflowPunct/>
        <w:topLinePunct w:val="0"/>
        <w:autoSpaceDE/>
        <w:autoSpaceDN/>
        <w:bidi w:val="0"/>
        <w:adjustRightInd/>
        <w:spacing w:line="600" w:lineRule="exact"/>
        <w:jc w:val="left"/>
        <w:textAlignment w:val="auto"/>
        <w:rPr>
          <w:rFonts w:ascii="黑体" w:hAnsi="黑体" w:eastAsia="黑体"/>
          <w:sz w:val="32"/>
          <w:szCs w:val="32"/>
        </w:rPr>
      </w:pPr>
      <w:r>
        <w:rPr>
          <w:rFonts w:ascii="黑体" w:hAnsi="黑体" w:eastAsia="黑体"/>
          <w:sz w:val="32"/>
          <w:szCs w:val="32"/>
        </w:rPr>
        <w:t>第一部分</w:t>
      </w:r>
      <w:r>
        <w:rPr>
          <w:rFonts w:hint="eastAsia" w:ascii="黑体" w:hAnsi="黑体" w:eastAsia="黑体"/>
          <w:sz w:val="32"/>
          <w:szCs w:val="32"/>
          <w:lang w:eastAsia="zh-CN"/>
        </w:rPr>
        <w:t>黄陂区长轩岭街道</w:t>
      </w:r>
      <w:r>
        <w:rPr>
          <w:rFonts w:ascii="黑体" w:hAnsi="黑体" w:eastAsia="黑体"/>
          <w:sz w:val="32"/>
          <w:szCs w:val="32"/>
        </w:rPr>
        <w:t>党员群众服务中心2023年部门预算公开说明</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一、部门基本情况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（一）部门主要职能</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（二）部门预算单位构成</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（三）部门人员构成</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二、年度工作目标及主要任务</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三、部门收支预算总体安排情况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四、一般公共预算财政拨款支出预算情况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五、一般公共预算“三公”经费支出预算情况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六、政府性基金预算财政拨款支出预算情况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七、国有资本经营预算财政拨款支出预算情况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八、其他重要事项的情况说明</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（一）机关运行经费情况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（二）政府采购预算情况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（三）国有资产占有使用情况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（四）绩效目标设置情况</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rPr>
          <w:rFonts w:ascii="黑体" w:hAnsi="黑体" w:eastAsia="黑体"/>
          <w:sz w:val="32"/>
          <w:szCs w:val="32"/>
        </w:rPr>
      </w:pPr>
      <w:r>
        <w:rPr>
          <w:rFonts w:hint="eastAsia" w:ascii="黑体" w:hAnsi="黑体" w:eastAsia="黑体"/>
          <w:sz w:val="32"/>
          <w:szCs w:val="32"/>
        </w:rPr>
        <w:t>九、联系方式</w:t>
      </w:r>
    </w:p>
    <w:p>
      <w:pPr>
        <w:widowControl/>
        <w:spacing w:before="312" w:beforeLines="100" w:line="500" w:lineRule="exact"/>
        <w:jc w:val="left"/>
        <w:rPr>
          <w:rFonts w:ascii="黑体" w:hAnsi="黑体" w:eastAsia="黑体"/>
          <w:sz w:val="32"/>
          <w:szCs w:val="32"/>
        </w:rPr>
      </w:pPr>
      <w:r>
        <w:rPr>
          <w:rFonts w:ascii="黑体" w:hAnsi="黑体" w:eastAsia="黑体"/>
          <w:sz w:val="32"/>
          <w:szCs w:val="32"/>
        </w:rPr>
        <w:t>第二部分</w:t>
      </w:r>
      <w:r>
        <w:rPr>
          <w:rFonts w:hint="eastAsia" w:ascii="黑体" w:hAnsi="黑体" w:eastAsia="黑体"/>
          <w:sz w:val="32"/>
          <w:szCs w:val="32"/>
          <w:lang w:eastAsia="zh-CN"/>
        </w:rPr>
        <w:t>黄陂区长轩岭街道</w:t>
      </w:r>
      <w:r>
        <w:rPr>
          <w:rFonts w:ascii="黑体" w:hAnsi="黑体" w:eastAsia="黑体"/>
          <w:sz w:val="32"/>
          <w:szCs w:val="32"/>
        </w:rPr>
        <w:t>党员群众服务中心2023年部门预算公开表</w:t>
      </w:r>
    </w:p>
    <w:p>
      <w:pPr>
        <w:snapToGrid w:val="0"/>
        <w:spacing w:line="360" w:lineRule="auto"/>
        <w:ind w:left="720"/>
        <w:rPr>
          <w:rFonts w:ascii="黑体" w:hAnsi="黑体" w:eastAsia="黑体"/>
          <w:sz w:val="32"/>
          <w:szCs w:val="32"/>
        </w:rPr>
      </w:pPr>
      <w:r>
        <w:rPr>
          <w:rFonts w:hint="eastAsia" w:ascii="黑体" w:hAnsi="黑体" w:eastAsia="黑体"/>
          <w:sz w:val="32"/>
          <w:szCs w:val="32"/>
        </w:rPr>
        <w:t>一、收支总表</w:t>
      </w:r>
    </w:p>
    <w:p>
      <w:pPr>
        <w:snapToGrid w:val="0"/>
        <w:spacing w:line="360" w:lineRule="auto"/>
        <w:ind w:left="720"/>
        <w:rPr>
          <w:rFonts w:ascii="黑体" w:hAnsi="黑体" w:eastAsia="黑体"/>
          <w:sz w:val="32"/>
          <w:szCs w:val="32"/>
        </w:rPr>
      </w:pPr>
      <w:r>
        <w:rPr>
          <w:rFonts w:hint="eastAsia" w:ascii="黑体" w:hAnsi="黑体" w:eastAsia="黑体"/>
          <w:sz w:val="32"/>
          <w:szCs w:val="32"/>
        </w:rPr>
        <w:t>二、收入总表</w:t>
      </w:r>
    </w:p>
    <w:p>
      <w:pPr>
        <w:snapToGrid w:val="0"/>
        <w:spacing w:line="360" w:lineRule="auto"/>
        <w:ind w:left="720"/>
        <w:rPr>
          <w:rFonts w:ascii="黑体" w:hAnsi="黑体" w:eastAsia="黑体"/>
          <w:sz w:val="32"/>
          <w:szCs w:val="32"/>
        </w:rPr>
      </w:pPr>
      <w:r>
        <w:rPr>
          <w:rFonts w:hint="eastAsia" w:ascii="黑体" w:hAnsi="黑体" w:eastAsia="黑体"/>
          <w:sz w:val="32"/>
          <w:szCs w:val="32"/>
        </w:rPr>
        <w:t>三、支出总表</w:t>
      </w:r>
    </w:p>
    <w:p>
      <w:pPr>
        <w:snapToGrid w:val="0"/>
        <w:spacing w:line="360" w:lineRule="auto"/>
        <w:ind w:left="720"/>
        <w:rPr>
          <w:rFonts w:ascii="黑体" w:hAnsi="黑体" w:eastAsia="黑体"/>
          <w:sz w:val="32"/>
          <w:szCs w:val="32"/>
        </w:rPr>
      </w:pPr>
      <w:r>
        <w:rPr>
          <w:rFonts w:hint="eastAsia" w:ascii="黑体" w:hAnsi="黑体" w:eastAsia="黑体"/>
          <w:sz w:val="32"/>
          <w:szCs w:val="32"/>
        </w:rPr>
        <w:t>四、财政拨款收支总表</w:t>
      </w:r>
    </w:p>
    <w:p>
      <w:pPr>
        <w:snapToGrid w:val="0"/>
        <w:spacing w:line="360" w:lineRule="auto"/>
        <w:ind w:left="720"/>
        <w:rPr>
          <w:rFonts w:ascii="黑体" w:hAnsi="黑体" w:eastAsia="黑体"/>
          <w:sz w:val="32"/>
          <w:szCs w:val="32"/>
        </w:rPr>
      </w:pPr>
      <w:r>
        <w:rPr>
          <w:rFonts w:hint="eastAsia" w:ascii="黑体" w:hAnsi="黑体" w:eastAsia="黑体"/>
          <w:sz w:val="32"/>
          <w:szCs w:val="32"/>
        </w:rPr>
        <w:t>五、一般公共预算支出表</w:t>
      </w:r>
    </w:p>
    <w:p>
      <w:pPr>
        <w:snapToGrid w:val="0"/>
        <w:spacing w:line="360" w:lineRule="auto"/>
        <w:ind w:left="720"/>
        <w:rPr>
          <w:rFonts w:ascii="黑体" w:hAnsi="黑体" w:eastAsia="黑体"/>
          <w:sz w:val="32"/>
          <w:szCs w:val="32"/>
        </w:rPr>
      </w:pPr>
      <w:r>
        <w:rPr>
          <w:rFonts w:hint="eastAsia" w:ascii="黑体" w:hAnsi="黑体" w:eastAsia="黑体"/>
          <w:sz w:val="32"/>
          <w:szCs w:val="32"/>
        </w:rPr>
        <w:t>六、一般公共预算基本支出表</w:t>
      </w:r>
    </w:p>
    <w:p>
      <w:pPr>
        <w:snapToGrid w:val="0"/>
        <w:spacing w:line="360" w:lineRule="auto"/>
        <w:ind w:left="720"/>
        <w:rPr>
          <w:rFonts w:ascii="黑体" w:hAnsi="黑体" w:eastAsia="黑体"/>
          <w:sz w:val="32"/>
          <w:szCs w:val="32"/>
        </w:rPr>
      </w:pPr>
      <w:r>
        <w:rPr>
          <w:rFonts w:hint="eastAsia" w:ascii="黑体" w:hAnsi="黑体" w:eastAsia="黑体"/>
          <w:sz w:val="32"/>
          <w:szCs w:val="32"/>
        </w:rPr>
        <w:t>七、一般公共预算“三公”经费支出表</w:t>
      </w:r>
    </w:p>
    <w:p>
      <w:pPr>
        <w:snapToGrid w:val="0"/>
        <w:spacing w:line="360" w:lineRule="auto"/>
        <w:ind w:left="720"/>
        <w:rPr>
          <w:rFonts w:ascii="黑体" w:hAnsi="黑体" w:eastAsia="黑体"/>
          <w:sz w:val="32"/>
          <w:szCs w:val="32"/>
        </w:rPr>
      </w:pPr>
      <w:r>
        <w:rPr>
          <w:rFonts w:hint="eastAsia" w:ascii="黑体" w:hAnsi="黑体" w:eastAsia="黑体"/>
          <w:sz w:val="32"/>
          <w:szCs w:val="32"/>
        </w:rPr>
        <w:t>八、政府性基金预算支出表</w:t>
      </w:r>
    </w:p>
    <w:p>
      <w:pPr>
        <w:snapToGrid w:val="0"/>
        <w:spacing w:line="360" w:lineRule="auto"/>
        <w:ind w:left="720"/>
        <w:rPr>
          <w:rFonts w:ascii="黑体" w:hAnsi="黑体" w:eastAsia="黑体"/>
          <w:sz w:val="32"/>
          <w:szCs w:val="32"/>
        </w:rPr>
      </w:pPr>
      <w:r>
        <w:rPr>
          <w:rFonts w:hint="eastAsia" w:ascii="黑体" w:hAnsi="黑体" w:eastAsia="黑体"/>
          <w:sz w:val="32"/>
          <w:szCs w:val="32"/>
        </w:rPr>
        <w:t>九、项目支出表</w:t>
      </w:r>
    </w:p>
    <w:p>
      <w:pPr>
        <w:snapToGrid w:val="0"/>
        <w:spacing w:line="360" w:lineRule="auto"/>
        <w:ind w:left="720"/>
        <w:rPr>
          <w:rFonts w:ascii="黑体" w:hAnsi="黑体" w:eastAsia="黑体"/>
          <w:sz w:val="32"/>
          <w:szCs w:val="32"/>
        </w:rPr>
      </w:pPr>
      <w:r>
        <w:rPr>
          <w:rFonts w:hint="eastAsia" w:ascii="黑体" w:hAnsi="黑体" w:eastAsia="黑体"/>
          <w:sz w:val="32"/>
          <w:szCs w:val="32"/>
        </w:rPr>
        <w:t>十、部门整体支出绩效目标表</w:t>
      </w:r>
    </w:p>
    <w:p>
      <w:pPr>
        <w:snapToGrid w:val="0"/>
        <w:spacing w:line="360" w:lineRule="auto"/>
        <w:ind w:left="720"/>
        <w:rPr>
          <w:rFonts w:hint="eastAsia" w:ascii="黑体" w:hAnsi="黑体" w:eastAsia="黑体"/>
          <w:sz w:val="32"/>
          <w:szCs w:val="32"/>
        </w:rPr>
      </w:pPr>
      <w:r>
        <w:rPr>
          <w:rFonts w:hint="eastAsia" w:ascii="黑体" w:hAnsi="黑体" w:eastAsia="黑体"/>
          <w:sz w:val="32"/>
          <w:szCs w:val="32"/>
        </w:rPr>
        <w:t>十一、部门项目绩效目标表（一项一表）</w:t>
      </w:r>
    </w:p>
    <w:p>
      <w:pPr>
        <w:pStyle w:val="6"/>
        <w:ind w:firstLine="640" w:firstLineChars="200"/>
        <w:rPr>
          <w:rFonts w:hint="eastAsia" w:eastAsia="黑体"/>
          <w:lang w:eastAsia="zh-CN"/>
        </w:rPr>
      </w:pPr>
      <w:r>
        <w:rPr>
          <w:rFonts w:hint="eastAsia" w:ascii="黑体" w:hAnsi="黑体" w:eastAsia="黑体"/>
          <w:sz w:val="32"/>
          <w:szCs w:val="32"/>
          <w:lang w:eastAsia="zh-CN"/>
        </w:rPr>
        <w:t>十二、政府采购预算表</w:t>
      </w:r>
    </w:p>
    <w:p>
      <w:pPr>
        <w:snapToGrid w:val="0"/>
        <w:spacing w:line="360" w:lineRule="auto"/>
        <w:rPr>
          <w:rFonts w:ascii="黑体" w:hAnsi="黑体" w:eastAsia="黑体"/>
          <w:sz w:val="32"/>
          <w:szCs w:val="32"/>
        </w:rPr>
      </w:pPr>
      <w:r>
        <w:rPr>
          <w:rFonts w:hint="eastAsia" w:ascii="黑体" w:hAnsi="黑体" w:eastAsia="黑体"/>
          <w:sz w:val="32"/>
          <w:szCs w:val="32"/>
        </w:rPr>
        <w:t>第三部分    名词解释</w:t>
      </w:r>
    </w:p>
    <w:p>
      <w:pPr>
        <w:widowControl/>
        <w:spacing w:before="312" w:beforeLines="100" w:line="500" w:lineRule="exact"/>
        <w:ind w:firstLine="640" w:firstLineChars="200"/>
        <w:jc w:val="left"/>
        <w:rPr>
          <w:rFonts w:ascii="黑体" w:hAnsi="黑体" w:eastAsia="黑体"/>
          <w:sz w:val="32"/>
          <w:szCs w:val="32"/>
        </w:rPr>
      </w:pPr>
    </w:p>
    <w:p>
      <w:pPr>
        <w:widowControl/>
        <w:spacing w:before="312" w:beforeLines="100" w:line="500" w:lineRule="exact"/>
        <w:ind w:firstLine="640" w:firstLineChars="200"/>
        <w:jc w:val="left"/>
        <w:rPr>
          <w:rFonts w:ascii="黑体" w:hAnsi="黑体" w:eastAsia="黑体"/>
          <w:sz w:val="32"/>
          <w:szCs w:val="32"/>
        </w:rPr>
      </w:pPr>
    </w:p>
    <w:p>
      <w:pPr>
        <w:widowControl/>
        <w:spacing w:before="312" w:beforeLines="100" w:line="500" w:lineRule="exact"/>
        <w:ind w:firstLine="640" w:firstLineChars="200"/>
        <w:jc w:val="left"/>
        <w:rPr>
          <w:rFonts w:ascii="黑体" w:hAnsi="黑体" w:eastAsia="黑体"/>
          <w:sz w:val="32"/>
          <w:szCs w:val="32"/>
        </w:rPr>
      </w:pPr>
    </w:p>
    <w:p>
      <w:pPr>
        <w:widowControl/>
        <w:spacing w:before="312" w:beforeLines="100" w:line="500" w:lineRule="exact"/>
        <w:ind w:firstLine="640" w:firstLineChars="200"/>
        <w:jc w:val="left"/>
        <w:rPr>
          <w:rFonts w:ascii="黑体" w:hAnsi="黑体" w:eastAsia="黑体"/>
          <w:sz w:val="32"/>
          <w:szCs w:val="32"/>
        </w:rPr>
      </w:pPr>
    </w:p>
    <w:p>
      <w:pPr>
        <w:widowControl/>
        <w:spacing w:before="312" w:beforeLines="100" w:line="500" w:lineRule="exact"/>
        <w:ind w:firstLine="640" w:firstLineChars="200"/>
        <w:jc w:val="left"/>
        <w:rPr>
          <w:rFonts w:ascii="黑体" w:hAnsi="黑体" w:eastAsia="黑体"/>
          <w:sz w:val="32"/>
          <w:szCs w:val="32"/>
        </w:rPr>
      </w:pPr>
    </w:p>
    <w:p>
      <w:pPr>
        <w:widowControl/>
        <w:spacing w:before="312" w:beforeLines="100" w:line="500" w:lineRule="exact"/>
        <w:ind w:firstLine="640" w:firstLineChars="200"/>
        <w:jc w:val="left"/>
        <w:rPr>
          <w:rFonts w:ascii="黑体" w:hAnsi="黑体" w:eastAsia="黑体"/>
          <w:sz w:val="32"/>
          <w:szCs w:val="32"/>
        </w:rPr>
      </w:pPr>
    </w:p>
    <w:p>
      <w:pPr>
        <w:widowControl/>
        <w:spacing w:before="312" w:beforeLines="100" w:line="500" w:lineRule="exact"/>
        <w:ind w:firstLine="640" w:firstLineChars="200"/>
        <w:jc w:val="left"/>
        <w:rPr>
          <w:rFonts w:ascii="黑体" w:hAnsi="黑体" w:eastAsia="黑体"/>
          <w:sz w:val="32"/>
          <w:szCs w:val="32"/>
        </w:rPr>
      </w:pPr>
    </w:p>
    <w:p>
      <w:pPr>
        <w:widowControl/>
        <w:spacing w:before="312" w:beforeLines="100" w:line="500" w:lineRule="exact"/>
        <w:jc w:val="center"/>
        <w:rPr>
          <w:rFonts w:ascii="黑体" w:hAnsi="黑体" w:eastAsia="黑体"/>
          <w:sz w:val="32"/>
          <w:szCs w:val="32"/>
        </w:rPr>
      </w:pPr>
      <w:r>
        <w:rPr>
          <w:rFonts w:ascii="黑体" w:hAnsi="黑体" w:eastAsia="黑体"/>
          <w:sz w:val="32"/>
          <w:szCs w:val="32"/>
        </w:rPr>
        <w:t>第一部分</w:t>
      </w:r>
      <w:r>
        <w:rPr>
          <w:rFonts w:hint="eastAsia" w:ascii="黑体" w:hAnsi="黑体" w:eastAsia="黑体"/>
          <w:sz w:val="32"/>
          <w:szCs w:val="32"/>
          <w:lang w:eastAsia="zh-CN"/>
        </w:rPr>
        <w:t>黄陂区长轩岭街道</w:t>
      </w:r>
      <w:r>
        <w:rPr>
          <w:rFonts w:ascii="黑体" w:hAnsi="黑体" w:eastAsia="黑体"/>
          <w:sz w:val="32"/>
          <w:szCs w:val="32"/>
        </w:rPr>
        <w:t>党员群众服务中心2023年部门预算公开说明</w:t>
      </w:r>
    </w:p>
    <w:p>
      <w:pPr>
        <w:snapToGrid w:val="0"/>
        <w:spacing w:line="500" w:lineRule="exact"/>
        <w:ind w:firstLine="602" w:firstLineChars="200"/>
        <w:rPr>
          <w:rFonts w:hint="eastAsia" w:ascii="黑体" w:hAnsi="黑体" w:eastAsia="黑体"/>
          <w:b/>
          <w:bCs/>
          <w:sz w:val="30"/>
          <w:szCs w:val="30"/>
        </w:rPr>
      </w:pP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黑体" w:hAnsi="黑体" w:eastAsia="黑体"/>
          <w:b w:val="0"/>
          <w:bCs w:val="0"/>
          <w:sz w:val="32"/>
          <w:szCs w:val="32"/>
        </w:rPr>
      </w:pPr>
      <w:r>
        <w:rPr>
          <w:rFonts w:hint="eastAsia" w:ascii="黑体" w:hAnsi="黑体" w:eastAsia="黑体"/>
          <w:b w:val="0"/>
          <w:bCs w:val="0"/>
          <w:sz w:val="32"/>
          <w:szCs w:val="32"/>
        </w:rPr>
        <w:t>一、部门基本情况</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rPr>
          <w:rFonts w:ascii="黑体" w:hAnsi="黑体" w:eastAsia="黑体"/>
          <w:sz w:val="32"/>
          <w:szCs w:val="32"/>
        </w:rPr>
      </w:pPr>
      <w:r>
        <w:rPr>
          <w:rFonts w:hint="eastAsia" w:ascii="楷体" w:hAnsi="楷体" w:eastAsia="楷体" w:cs="楷体"/>
          <w:b/>
          <w:bCs/>
          <w:sz w:val="32"/>
          <w:szCs w:val="32"/>
        </w:rPr>
        <w:t>（一）部门主要职能</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1.负责党员群众服务项目的整体设置、安排和调度，为党员和群众提供综合性服务支撑平台； </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2.负责联系、服务辖区党员，做好流动党员接收、管理工作； </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3.协助街道党工委做好非公有制经济组织和社会组织的组织覆盖和党建工作，并提供有关工作指导； </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4.协助街道党工委开展社会性、公益性、群众性活动；</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5.负责党群服务各类活动场所的功能规划、管理和维 护； </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6.负责综合便民审批服务工作；</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7.承担退役军人就业创业扶持、优抚帮扶、走访慰问、 信访接待、权益保障等事务性工作； </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ascii="黑体" w:hAnsi="黑体" w:eastAsia="黑体"/>
          <w:sz w:val="32"/>
          <w:szCs w:val="32"/>
        </w:rPr>
      </w:pPr>
      <w:r>
        <w:rPr>
          <w:rFonts w:hint="eastAsia" w:ascii="仿宋" w:hAnsi="仿宋" w:eastAsia="仿宋" w:cs="仿宋"/>
          <w:sz w:val="32"/>
          <w:szCs w:val="32"/>
        </w:rPr>
        <w:t>8.负责新时代文明实践所整体设置、切实加强志愿者 自身业务能力建设、文明实践活动方案制定，文明实践各类 活动、会议记录、文件资料的整理和保管。</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（二）部门预算单位构成</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长轩岭街道党员群众服务中心</w:t>
      </w:r>
      <w:r>
        <w:rPr>
          <w:rFonts w:hint="eastAsia" w:ascii="仿宋" w:hAnsi="仿宋" w:eastAsia="仿宋" w:cs="仿宋"/>
          <w:sz w:val="32"/>
          <w:szCs w:val="32"/>
          <w:lang w:eastAsia="zh-CN"/>
        </w:rPr>
        <w:t>为公益一类事业单位。</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（三）部门人员构成</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长轩岭街道党员群众服务中心</w:t>
      </w:r>
      <w:r>
        <w:rPr>
          <w:rFonts w:hint="eastAsia" w:ascii="仿宋" w:hAnsi="仿宋" w:eastAsia="仿宋" w:cs="仿宋"/>
          <w:sz w:val="32"/>
          <w:szCs w:val="32"/>
          <w:lang w:eastAsia="zh-CN"/>
        </w:rPr>
        <w:t>为公益一类事业单位。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rPr>
          <w:rFonts w:ascii="黑体" w:hAnsi="黑体" w:eastAsia="黑体"/>
          <w:sz w:val="32"/>
          <w:szCs w:val="32"/>
        </w:rPr>
      </w:pPr>
      <w:r>
        <w:rPr>
          <w:rFonts w:hint="eastAsia" w:ascii="仿宋" w:hAnsi="仿宋" w:eastAsia="仿宋" w:cs="仿宋"/>
          <w:sz w:val="32"/>
          <w:szCs w:val="32"/>
        </w:rPr>
        <w:t>长轩岭街道党员群众服务中心总编制人数26人，其中：事业编制23人；在职实有人数23人。离退休人员3 人，其中：退休3人。</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黑体" w:hAnsi="黑体" w:eastAsia="黑体"/>
          <w:sz w:val="32"/>
          <w:szCs w:val="32"/>
          <w:lang w:val="en-US" w:eastAsia="zh-CN"/>
        </w:rPr>
      </w:pPr>
      <w:r>
        <w:rPr>
          <w:rFonts w:hint="eastAsia" w:ascii="黑体" w:hAnsi="黑体" w:eastAsia="黑体"/>
          <w:sz w:val="32"/>
          <w:szCs w:val="32"/>
        </w:rPr>
        <w:t>二、年度工作目标及主要任</w:t>
      </w:r>
      <w:r>
        <w:rPr>
          <w:rFonts w:hint="eastAsia" w:ascii="黑体" w:hAnsi="黑体" w:eastAsia="黑体"/>
          <w:sz w:val="32"/>
          <w:szCs w:val="32"/>
          <w:lang w:val="en-US" w:eastAsia="zh-CN"/>
        </w:rPr>
        <w:t>务</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回顾2022年，长轩岭街道党员群众服务中心在街道党（工）委的领导下，坚持为民是根本，便民是目的，服务是本质，将优质服务贯穿于工作始终，较好地完成了各项工作任务，为建设和谐长轩岭做出了应有贡献。</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党群中心下设政务中心，政务中心设有人社、民政、退役军人3个服务窗口，有工作人员18人，截止到2022年10月上旬共接待群众12860余人次，其中医保农保缴费服务8285 人次，民政办证及服务6456人次，退役军人建档立卡1815人，办理优待证 1243 人次，已完成1225人，完成率达到98.55%，在全区排名第二。其它咨询服务1517 人次。一年以来，中心实现了工作有序，办事快捷，群众满意的目标，并得到了上级主管部门的赞扬与肯定，在2022年年度绩效考核中被评为“年度干事创业先进集体”，在2021年年度文明创建中被评为“文明单位”。</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1.密切联系村、社区。中心自成立以来，及时组建微信群，工作人员以微信群作为沟通媒介，及时在群内发布便民信息，进行政策宣传，化解邻里纠纷，开展业务交流。</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有序开展窗口业务。党群中心内设人社窗口为居民提供政策咨询及业务办理服务，截止到十月上旬办理医保业务8900余人次，日接待量最高达100人次。其中，医保服务686人次；医保补卡、信息变更214人；续保缴费124人，日常信息查询、政策宣传正常进行。农保年审总人次8264人，已认证8264人，完成率达100%；办理丧葬费补贴和社保退费190 人；外出农民工意外伤害保险申报工作目前正在办理中，经摸底统计约2.6万人符合政策，已于上半年完成工作目标。2022年前三季度完成“4050补贴”580人。完成劳动用工年审任务92家，完成率98%。每月劳动仲裁报表按时上报，前三季度调节处理劳动纠纷10起，企业退休待遇资格认证200余人，新生儿参保登记100余人。</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内设退役军人服务站窗口，负责办理退役军人相关业务。（1）开展帮扶慰问工作。前三季度关爱帮扶困难优抚对象6人，共计金额8000元；“八一”期间退役军人服务站组织退役军人代表召开“情系退役老兵”座谈会，会后积极开展慰问帮扶活动：慰问涉军特困人员4人，慰问金额2000元；慰问优抚对象21人，慰问金额4200元；慰问下岗志愿兵6人，慰问金额4800元；慰问困难对象97人，慰问金额50000元；看望慰问无军籍职工1人。（2）完善退役军人档案。截止到10月上旬，退役军人服务站开展档案维护量1771人，其中，本地1751人，异地20人；维护涉及退役军人1138人，其中，本地1124人，异地14人；审核通过量1761人，审核中10人；档案转入784人，转出2人。（3）办理其它相关业务。前三季度为年满60周岁的退役老兵申请生活补助23人，核销死亡人数 12 人；疫情期间到退役军人事务局代为核查退役军人档案 101 人；2022年前三季度完成退役军人城乡基本医疗保险免缴资格认证 487人，2023年度医保免缴认证483人；对31个村、2个社区完成高德地图网上定位录入工作；（4）协调化解驻军部队纠纷。2022年度，退役军人服务站协同短岭村村委会，协调化解驻军部队军民纠纷1例；（5）为烈士申请立碑。为创造村杜连先烈士申请立烈士碑一座。</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3.积极推进政务中心日常工作。前三季度，政务中心对全街</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31个村、2个社区开展业务指导，中心工作人员对村、社区开展网上办件一对一指导，协助村、社区开展“政务一张网”网上录入、审核工作。截止到10 月上旬，政务服务平台网上办件2000余件，政务服务窗口积极与区政务服务中心对接工作，处理超时件上百余条。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4.按规定开展支部主题党日活动。党群中心严格落实“三会一课”制度，在加强党员个人自学的同时，组织党员集中交流学习，并围绕学习内容展开交流讨论，切实增强学习的实效性。</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5.有序开展疫情防控。党群中心全体干部职工按照“应下尽下 能下尽下”的要求，下沉到村（社区）协助开展核酸扩面筛查、卡口值守、查验通行人员健康码、行程码及核酸检测阴性证明、开展入户排查登记、协助开展流调工作。</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6.积极开展志愿服务活动。2022年前三季度，我中心积极开展“清洁家园”“文明交通劝导”“情系退役老兵”“讲文明 树新风”“防灾减灾宣传”等志愿服务活动，通过开展系列活动，践行了“奉献 友爱 互助 进步”的志愿服务精神。</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黑体" w:hAnsi="黑体" w:eastAsia="黑体"/>
          <w:b/>
          <w:bCs/>
          <w:sz w:val="32"/>
          <w:szCs w:val="32"/>
        </w:rPr>
      </w:pPr>
      <w:r>
        <w:rPr>
          <w:rFonts w:hint="eastAsia" w:ascii="黑体" w:hAnsi="黑体" w:eastAsia="黑体"/>
          <w:b w:val="0"/>
          <w:bCs w:val="0"/>
          <w:sz w:val="32"/>
          <w:szCs w:val="32"/>
        </w:rPr>
        <w:t>三、部门收支预算总体安排情况</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（一）2022年部门预算总收入</w:t>
      </w:r>
      <w:bookmarkStart w:id="0" w:name="_Hlk128330167"/>
      <w:r>
        <w:rPr>
          <w:rFonts w:hint="eastAsia" w:ascii="仿宋" w:hAnsi="仿宋" w:eastAsia="仿宋" w:cs="仿宋"/>
          <w:sz w:val="32"/>
          <w:szCs w:val="32"/>
        </w:rPr>
        <w:t>582.15</w:t>
      </w:r>
      <w:bookmarkEnd w:id="0"/>
      <w:r>
        <w:rPr>
          <w:rFonts w:hint="eastAsia" w:ascii="仿宋" w:hAnsi="仿宋" w:eastAsia="仿宋" w:cs="仿宋"/>
          <w:sz w:val="32"/>
          <w:szCs w:val="32"/>
        </w:rPr>
        <w:t xml:space="preserve">万元。其中：一 般公共预算财政拨款收入582.15万元。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（二）2023年部门预算总支出582.15万元。其中：基 本支出557.15万元，项目支出25万元。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按照支出功能分类科目，主要用于：社会保障和就业支出497.55万元；主要是基本工资、津贴补贴、其他社会保障缴费、五奖、部门运转等人员经费。退休人员的退休费、五奖、抚恤金等。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卫生健康支出33.34万元；主要是在职和退休人员基本医疗保险。</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黑体" w:hAnsi="黑体" w:eastAsia="黑体"/>
          <w:sz w:val="32"/>
          <w:szCs w:val="32"/>
        </w:rPr>
      </w:pPr>
      <w:r>
        <w:rPr>
          <w:rFonts w:hint="eastAsia" w:ascii="仿宋" w:hAnsi="仿宋" w:eastAsia="仿宋" w:cs="仿宋"/>
          <w:sz w:val="32"/>
          <w:szCs w:val="32"/>
        </w:rPr>
        <w:t>住房保障支出51.26万元；主要是在职人员住房公积金、在职和退休人员提租补贴。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ascii="黑体" w:hAnsi="黑体" w:eastAsia="黑体"/>
          <w:b/>
          <w:bCs/>
          <w:sz w:val="32"/>
          <w:szCs w:val="32"/>
        </w:rPr>
      </w:pPr>
      <w:r>
        <w:rPr>
          <w:rFonts w:hint="eastAsia" w:ascii="黑体" w:hAnsi="黑体" w:eastAsia="黑体"/>
          <w:b w:val="0"/>
          <w:bCs w:val="0"/>
          <w:sz w:val="32"/>
          <w:szCs w:val="32"/>
        </w:rPr>
        <w:t>四、一般公共预算财政拨款支出预算情况</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2023年一般公共预算财政拨款支出预算582.15万元， 其中：当年预算582.15万元，比2022年预算增加68.39万元，增长13.31%；上年结转0万元。主要安排情况如下：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（一）人员类项目支出542.13万元，比2022年预算增加67.87万元，增长14.31%，主要原因：在职人员基本工资、津贴补贴、五奖、职工基本医疗保险缴费、住房公积金、医疗费。 包括：</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（1）工资福利支出512.41万元，主要用于在职人员基</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本工资、津贴补贴、五奖。 </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（2）对个人和家庭的补助29.72万元，主要用于退休 费、五奖、医疗费补助。</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（二）公用经费运转类项目支出15.02万元，均为商品 和服务支出，主要用于办公费、印刷费、水费、电费、邮电 费、差旅费、公务接待费、公务用车运行维护费。</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（三）其他运转类及特定目标类项目支出33.34万元，比2023年预算增加8.4万元，增长33.6%，主要原因：机构改革新成立单位。其中： </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1.其他运转类项目33.34万元。主要安排为：</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rPr>
          <w:rFonts w:ascii="黑体" w:hAnsi="黑体" w:eastAsia="黑体"/>
          <w:sz w:val="32"/>
          <w:szCs w:val="32"/>
        </w:rPr>
      </w:pPr>
      <w:r>
        <w:rPr>
          <w:rFonts w:hint="eastAsia" w:ascii="仿宋" w:hAnsi="仿宋" w:eastAsia="仿宋" w:cs="仿宋"/>
          <w:sz w:val="32"/>
          <w:szCs w:val="32"/>
        </w:rPr>
        <w:t>（1）卫生健康支出项目33.34万元。主要用于文明创建、弥补党员群众服务中心运转经费的不足等。</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ascii="黑体" w:hAnsi="黑体" w:eastAsia="黑体"/>
          <w:b/>
          <w:bCs/>
          <w:sz w:val="32"/>
          <w:szCs w:val="32"/>
        </w:rPr>
      </w:pPr>
      <w:r>
        <w:rPr>
          <w:rFonts w:hint="eastAsia" w:ascii="黑体" w:hAnsi="黑体" w:eastAsia="黑体"/>
          <w:b w:val="0"/>
          <w:bCs w:val="0"/>
          <w:sz w:val="32"/>
          <w:szCs w:val="32"/>
        </w:rPr>
        <w:t>五、一般公共预算“三公”经费支出预算情况</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（一）“三公”经费的单位范围 </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长轩岭街道党员群众服务中心安排“三公”经费的单 位由1个二级单位组成。二级单位包括：</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1. 长轩岭街道党员群众服务中心 </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（二）“三公”经费财政拨款预算情况2023年一般公共预算财政拨款资金安排“三公”经费预2.5万元，2022年没有相关预算，属新增预算。其中： </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1.公务用车购置及运行维护费0万元，比2022年预算 增加0万元。其中：公务用车运行维护费0万元，比2022年预算增加0万元，主要原因：机构改革新成立单位。</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ascii="黑体" w:hAnsi="黑体" w:eastAsia="黑体"/>
          <w:sz w:val="32"/>
          <w:szCs w:val="32"/>
        </w:rPr>
      </w:pPr>
      <w:r>
        <w:rPr>
          <w:rFonts w:hint="eastAsia" w:ascii="仿宋" w:hAnsi="仿宋" w:eastAsia="仿宋" w:cs="仿宋"/>
          <w:b w:val="0"/>
          <w:bCs w:val="0"/>
          <w:sz w:val="32"/>
          <w:szCs w:val="32"/>
        </w:rPr>
        <w:t>2.公务接待费预算2.5万元，比2022年预算增加2.5万元， 主要原因：机构改革新成立单位。</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ascii="黑体" w:hAnsi="黑体" w:eastAsia="黑体"/>
          <w:b w:val="0"/>
          <w:bCs w:val="0"/>
          <w:sz w:val="32"/>
          <w:szCs w:val="32"/>
        </w:rPr>
      </w:pPr>
      <w:r>
        <w:rPr>
          <w:rFonts w:hint="eastAsia" w:ascii="黑体" w:hAnsi="黑体" w:eastAsia="黑体"/>
          <w:b w:val="0"/>
          <w:bCs w:val="0"/>
          <w:sz w:val="32"/>
          <w:szCs w:val="32"/>
        </w:rPr>
        <w:t>六、政府性基金预算财政拨款支出预算情况</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黑体" w:hAnsi="黑体" w:eastAsia="黑体"/>
          <w:sz w:val="32"/>
          <w:szCs w:val="32"/>
        </w:rPr>
      </w:pPr>
      <w:r>
        <w:rPr>
          <w:rFonts w:hint="eastAsia" w:ascii="仿宋" w:hAnsi="仿宋" w:eastAsia="仿宋" w:cs="仿宋"/>
          <w:sz w:val="32"/>
          <w:szCs w:val="32"/>
        </w:rPr>
        <w:t>长轩岭街道党员群众服务中心2023年没有使用政府性 基金预算财政拨款安排的支出。</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ascii="黑体" w:hAnsi="黑体" w:eastAsia="黑体"/>
          <w:b/>
          <w:bCs/>
          <w:sz w:val="32"/>
          <w:szCs w:val="32"/>
        </w:rPr>
      </w:pPr>
      <w:r>
        <w:rPr>
          <w:rFonts w:hint="eastAsia" w:ascii="黑体" w:hAnsi="黑体" w:eastAsia="黑体"/>
          <w:b w:val="0"/>
          <w:bCs w:val="0"/>
          <w:sz w:val="32"/>
          <w:szCs w:val="32"/>
        </w:rPr>
        <w:t>七、国有资本经营预算财政拨款支出预算情况</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黑体" w:hAnsi="黑体" w:eastAsia="黑体"/>
          <w:sz w:val="32"/>
          <w:szCs w:val="32"/>
        </w:rPr>
      </w:pPr>
      <w:r>
        <w:rPr>
          <w:rFonts w:hint="eastAsia" w:ascii="仿宋" w:hAnsi="仿宋" w:eastAsia="仿宋" w:cs="仿宋"/>
          <w:sz w:val="32"/>
          <w:szCs w:val="32"/>
        </w:rPr>
        <w:t>长轩岭街道党员群众服务中心2023年没有使用国有资 本经营预算财政拨款安排的支出。</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ascii="黑体" w:hAnsi="黑体" w:eastAsia="黑体"/>
          <w:b/>
          <w:bCs/>
          <w:sz w:val="32"/>
          <w:szCs w:val="32"/>
        </w:rPr>
      </w:pPr>
      <w:r>
        <w:rPr>
          <w:rFonts w:hint="eastAsia" w:ascii="黑体" w:hAnsi="黑体" w:eastAsia="黑体"/>
          <w:b w:val="0"/>
          <w:bCs w:val="0"/>
          <w:sz w:val="32"/>
          <w:szCs w:val="32"/>
        </w:rPr>
        <w:t>八、其他重要事项的情况说明</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（一）机关运行经费情况2023年部门1家机关运行经费15.02万。主要包括：办公费、印刷费、水电费、邮电费、差旅费、会议费、福利费、日常维修费、办公用房物业管理费、公务用车运行维护费及 其他费用等。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（二）政府采购预算情况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按照现行政府采购管理规定，2023年部门预算中纳入政府采购预算支出合计 33.34万元。包括：工程类 0 万元；货物类0万元。服务类33.34万元。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（三）国有资产占有使用情况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截至2022年12月31日，部门共有车辆0辆。其中： 一般公务用车0辆，一般执法执勤用车0辆，特种专业技术用车0辆。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（四）绩效目标设置情</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黑体" w:hAnsi="黑体" w:eastAsia="黑体"/>
          <w:sz w:val="32"/>
          <w:szCs w:val="32"/>
        </w:rPr>
      </w:pPr>
      <w:r>
        <w:rPr>
          <w:rFonts w:hint="eastAsia" w:ascii="仿宋" w:hAnsi="仿宋" w:eastAsia="仿宋" w:cs="仿宋"/>
          <w:sz w:val="32"/>
          <w:szCs w:val="32"/>
        </w:rPr>
        <w:t>2023年部门项目均实行绩效目标管理涉及一般公共预算当年财政拨款33.34万元。</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黑体" w:hAnsi="黑体" w:eastAsia="黑体"/>
          <w:b w:val="0"/>
          <w:bCs w:val="0"/>
          <w:sz w:val="32"/>
          <w:szCs w:val="32"/>
        </w:rPr>
      </w:pPr>
      <w:r>
        <w:rPr>
          <w:rFonts w:ascii="黑体" w:hAnsi="黑体" w:eastAsia="黑体"/>
          <w:b w:val="0"/>
          <w:bCs w:val="0"/>
          <w:sz w:val="32"/>
          <w:szCs w:val="32"/>
        </w:rPr>
        <w:t xml:space="preserve">九、联系方式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部门单位地址：黄陂区长轩岭街道月湖路1号 </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黑体" w:hAnsi="黑体" w:eastAsia="黑体"/>
          <w:sz w:val="30"/>
          <w:szCs w:val="30"/>
        </w:rPr>
      </w:pPr>
      <w:r>
        <w:rPr>
          <w:rFonts w:hint="eastAsia" w:ascii="仿宋" w:hAnsi="仿宋" w:eastAsia="仿宋" w:cs="仿宋"/>
          <w:sz w:val="32"/>
          <w:szCs w:val="32"/>
        </w:rPr>
        <w:t>联系人：魏英和           联系电话：13886053995</w:t>
      </w:r>
    </w:p>
    <w:p>
      <w:pPr>
        <w:spacing w:line="500" w:lineRule="exact"/>
        <w:ind w:firstLine="600" w:firstLineChars="200"/>
        <w:jc w:val="left"/>
        <w:rPr>
          <w:rFonts w:ascii="黑体" w:hAnsi="黑体" w:eastAsia="黑体"/>
          <w:sz w:val="30"/>
          <w:szCs w:val="30"/>
        </w:rPr>
      </w:pPr>
    </w:p>
    <w:p>
      <w:pPr>
        <w:spacing w:line="500" w:lineRule="exact"/>
        <w:ind w:firstLine="600" w:firstLineChars="200"/>
        <w:jc w:val="left"/>
        <w:rPr>
          <w:rFonts w:ascii="黑体" w:hAnsi="黑体" w:eastAsia="黑体"/>
          <w:sz w:val="30"/>
          <w:szCs w:val="30"/>
        </w:rPr>
      </w:pPr>
    </w:p>
    <w:p>
      <w:pPr>
        <w:spacing w:line="500" w:lineRule="exact"/>
        <w:ind w:firstLine="600" w:firstLineChars="200"/>
        <w:jc w:val="left"/>
        <w:rPr>
          <w:rFonts w:ascii="黑体" w:hAnsi="黑体" w:eastAsia="黑体"/>
          <w:sz w:val="30"/>
          <w:szCs w:val="30"/>
        </w:rPr>
      </w:pPr>
    </w:p>
    <w:p>
      <w:pPr>
        <w:spacing w:line="500" w:lineRule="exact"/>
        <w:ind w:firstLine="600" w:firstLineChars="200"/>
        <w:jc w:val="left"/>
        <w:rPr>
          <w:rFonts w:ascii="黑体" w:hAnsi="黑体" w:eastAsia="黑体"/>
          <w:sz w:val="30"/>
          <w:szCs w:val="30"/>
        </w:rPr>
      </w:pPr>
    </w:p>
    <w:p>
      <w:pPr>
        <w:spacing w:line="500" w:lineRule="exact"/>
        <w:ind w:firstLine="600" w:firstLineChars="200"/>
        <w:jc w:val="left"/>
        <w:rPr>
          <w:rFonts w:ascii="黑体" w:hAnsi="黑体" w:eastAsia="黑体"/>
          <w:sz w:val="30"/>
          <w:szCs w:val="30"/>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p>
    <w:p>
      <w:pPr>
        <w:widowControl/>
        <w:spacing w:before="312" w:beforeLines="100" w:line="600" w:lineRule="auto"/>
        <w:jc w:val="center"/>
        <w:rPr>
          <w:rFonts w:ascii="黑体" w:hAnsi="黑体" w:eastAsia="黑体"/>
          <w:b/>
          <w:bCs/>
          <w:sz w:val="32"/>
          <w:szCs w:val="32"/>
        </w:rPr>
      </w:pPr>
      <w:r>
        <w:rPr>
          <w:rFonts w:ascii="黑体" w:hAnsi="黑体" w:eastAsia="黑体"/>
          <w:b w:val="0"/>
          <w:bCs w:val="0"/>
          <w:sz w:val="32"/>
          <w:szCs w:val="32"/>
        </w:rPr>
        <w:t>第</w:t>
      </w:r>
      <w:r>
        <w:rPr>
          <w:rFonts w:hint="eastAsia" w:ascii="黑体" w:hAnsi="黑体" w:eastAsia="黑体"/>
          <w:b w:val="0"/>
          <w:bCs w:val="0"/>
          <w:sz w:val="32"/>
          <w:szCs w:val="32"/>
        </w:rPr>
        <w:t>二</w:t>
      </w:r>
      <w:r>
        <w:rPr>
          <w:rFonts w:ascii="黑体" w:hAnsi="黑体" w:eastAsia="黑体"/>
          <w:b w:val="0"/>
          <w:bCs w:val="0"/>
          <w:sz w:val="32"/>
          <w:szCs w:val="32"/>
        </w:rPr>
        <w:t>部分党员群众服务中心2023年部门预算公开</w:t>
      </w:r>
      <w:r>
        <w:rPr>
          <w:rFonts w:hint="eastAsia" w:ascii="黑体" w:hAnsi="黑体" w:eastAsia="黑体"/>
          <w:b w:val="0"/>
          <w:bCs w:val="0"/>
          <w:sz w:val="32"/>
          <w:szCs w:val="32"/>
        </w:rPr>
        <w:t>表</w:t>
      </w:r>
    </w:p>
    <w:p>
      <w:pPr>
        <w:snapToGrid w:val="0"/>
        <w:spacing w:line="240" w:lineRule="auto"/>
        <w:rPr>
          <w:rFonts w:ascii="黑体" w:hAnsi="黑体" w:eastAsia="黑体"/>
          <w:b w:val="0"/>
          <w:bCs w:val="0"/>
          <w:sz w:val="32"/>
          <w:szCs w:val="32"/>
        </w:rPr>
      </w:pPr>
      <w:r>
        <w:rPr>
          <w:rFonts w:ascii="黑体" w:hAnsi="黑体" w:eastAsia="黑体"/>
          <w:b w:val="0"/>
          <w:bCs w:val="0"/>
          <w:sz w:val="32"/>
          <w:szCs w:val="32"/>
        </w:rPr>
        <w:t>一、</w:t>
      </w:r>
      <w:r>
        <w:rPr>
          <w:rFonts w:hint="eastAsia" w:ascii="黑体" w:hAnsi="黑体" w:eastAsia="黑体"/>
          <w:b w:val="0"/>
          <w:bCs w:val="0"/>
          <w:sz w:val="32"/>
          <w:szCs w:val="32"/>
        </w:rPr>
        <w:t>2023</w:t>
      </w:r>
      <w:r>
        <w:rPr>
          <w:rFonts w:ascii="黑体" w:hAnsi="黑体" w:eastAsia="黑体"/>
          <w:b w:val="0"/>
          <w:bCs w:val="0"/>
          <w:sz w:val="32"/>
          <w:szCs w:val="32"/>
        </w:rPr>
        <w:t>年部门预算公开表</w:t>
      </w: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收支总表</w:t>
      </w:r>
    </w:p>
    <w:tbl>
      <w:tblPr>
        <w:tblStyle w:val="7"/>
        <w:tblW w:w="8765" w:type="dxa"/>
        <w:tblInd w:w="0" w:type="dxa"/>
        <w:tblLayout w:type="fixed"/>
        <w:tblCellMar>
          <w:top w:w="0" w:type="dxa"/>
          <w:left w:w="108" w:type="dxa"/>
          <w:bottom w:w="0" w:type="dxa"/>
          <w:right w:w="108" w:type="dxa"/>
        </w:tblCellMar>
      </w:tblPr>
      <w:tblGrid>
        <w:gridCol w:w="2900"/>
        <w:gridCol w:w="1515"/>
        <w:gridCol w:w="2875"/>
        <w:gridCol w:w="1475"/>
      </w:tblGrid>
      <w:tr>
        <w:tblPrEx>
          <w:tblCellMar>
            <w:top w:w="0" w:type="dxa"/>
            <w:left w:w="108" w:type="dxa"/>
            <w:bottom w:w="0" w:type="dxa"/>
            <w:right w:w="108" w:type="dxa"/>
          </w:tblCellMar>
        </w:tblPrEx>
        <w:trPr>
          <w:trHeight w:val="420" w:hRule="atLeast"/>
        </w:trPr>
        <w:tc>
          <w:tcPr>
            <w:tcW w:w="2900"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部门/单位：长轩岭街道党群中心</w:t>
            </w:r>
          </w:p>
        </w:tc>
        <w:tc>
          <w:tcPr>
            <w:tcW w:w="1515" w:type="dxa"/>
            <w:tcBorders>
              <w:top w:val="nil"/>
              <w:left w:val="nil"/>
              <w:bottom w:val="nil"/>
              <w:right w:val="nil"/>
            </w:tcBorders>
            <w:noWrap/>
            <w:vAlign w:val="bottom"/>
          </w:tcPr>
          <w:p>
            <w:pPr>
              <w:rPr>
                <w:rFonts w:ascii="Calibri" w:hAnsi="Calibri" w:cs="Calibri"/>
                <w:color w:val="000000"/>
                <w:sz w:val="18"/>
                <w:szCs w:val="18"/>
              </w:rPr>
            </w:pPr>
          </w:p>
        </w:tc>
        <w:tc>
          <w:tcPr>
            <w:tcW w:w="2875" w:type="dxa"/>
            <w:tcBorders>
              <w:top w:val="nil"/>
              <w:left w:val="nil"/>
              <w:bottom w:val="nil"/>
              <w:right w:val="nil"/>
            </w:tcBorders>
            <w:noWrap/>
            <w:vAlign w:val="bottom"/>
          </w:tcPr>
          <w:p>
            <w:pPr>
              <w:rPr>
                <w:rFonts w:ascii="Calibri" w:hAnsi="Calibri" w:cs="Calibri"/>
                <w:color w:val="000000"/>
                <w:sz w:val="18"/>
                <w:szCs w:val="18"/>
              </w:rPr>
            </w:pPr>
          </w:p>
        </w:tc>
        <w:tc>
          <w:tcPr>
            <w:tcW w:w="1475"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CellMar>
            <w:top w:w="0" w:type="dxa"/>
            <w:left w:w="108" w:type="dxa"/>
            <w:bottom w:w="0" w:type="dxa"/>
            <w:right w:w="108" w:type="dxa"/>
          </w:tblCellMar>
        </w:tblPrEx>
        <w:trPr>
          <w:trHeight w:val="340" w:hRule="atLeast"/>
        </w:trPr>
        <w:tc>
          <w:tcPr>
            <w:tcW w:w="44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收      入</w:t>
            </w:r>
          </w:p>
        </w:tc>
        <w:tc>
          <w:tcPr>
            <w:tcW w:w="43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支      出</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582.15</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一、一般公共服务支出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285.46</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二、公共安全支出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三、教育支出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四、科学技术支出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五、事业收入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五、文化旅游体育与传媒支出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六、社会保障和就业支出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497.55</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七、上级补助收入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七、卫生健康支出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33.34</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八、节能环保支出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九、其他收入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九、城乡社区支出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十、农林水支出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十一、交通运输支出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十二、资源勘探工业信息等支出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十三、商业服务业等支出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十四、金融支出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十五、援助其他地区支出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十六、自然资源海洋气象等支出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十七、住房保障支出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51.26</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十八、粮油物资储备支出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十九、国有资本经营预算支出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二十、灾害防治及应急管理支出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廿一、其他支出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廿二、债务还本支出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廿三、债务付息支出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廿四、债务发行费用支出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本年收入合计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582.15</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本年支出合计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582.15</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上年结转结余</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年终结转结余</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    入    总    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582.15</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    出    总    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582.15</w:t>
            </w:r>
          </w:p>
        </w:tc>
      </w:tr>
    </w:tbl>
    <w:p>
      <w:pPr>
        <w:pStyle w:val="11"/>
        <w:ind w:left="720" w:firstLine="0" w:firstLineChars="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备注：财政专户管理资金收入是指教育收费收入；事业收入不含教育收费收入，下同。</w:t>
      </w:r>
    </w:p>
    <w:p>
      <w:pPr>
        <w:spacing w:line="500" w:lineRule="exact"/>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收入总表</w:t>
      </w:r>
    </w:p>
    <w:tbl>
      <w:tblPr>
        <w:tblStyle w:val="7"/>
        <w:tblW w:w="13963" w:type="dxa"/>
        <w:tblInd w:w="93" w:type="dxa"/>
        <w:tblLayout w:type="fixed"/>
        <w:tblCellMar>
          <w:top w:w="0" w:type="dxa"/>
          <w:left w:w="108" w:type="dxa"/>
          <w:bottom w:w="0" w:type="dxa"/>
          <w:right w:w="108" w:type="dxa"/>
        </w:tblCellMar>
      </w:tblPr>
      <w:tblGrid>
        <w:gridCol w:w="4620"/>
        <w:gridCol w:w="2413"/>
        <w:gridCol w:w="4580"/>
        <w:gridCol w:w="2350"/>
      </w:tblGrid>
      <w:tr>
        <w:tblPrEx>
          <w:tblCellMar>
            <w:top w:w="0" w:type="dxa"/>
            <w:left w:w="108" w:type="dxa"/>
            <w:bottom w:w="0" w:type="dxa"/>
            <w:right w:w="108" w:type="dxa"/>
          </w:tblCellMar>
        </w:tblPrEx>
        <w:trPr>
          <w:trHeight w:val="854" w:hRule="atLeast"/>
        </w:trPr>
        <w:tc>
          <w:tcPr>
            <w:tcW w:w="4620" w:type="dxa"/>
            <w:tcBorders>
              <w:top w:val="nil"/>
              <w:left w:val="nil"/>
              <w:bottom w:val="nil"/>
              <w:right w:val="nil"/>
            </w:tcBorders>
            <w:noWrap/>
            <w:vAlign w:val="center"/>
          </w:tcPr>
          <w:p>
            <w:pPr>
              <w:widowControl/>
              <w:ind w:firstLine="540" w:firstLineChars="3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部门/单位：长轩岭街道党群中心</w:t>
            </w:r>
          </w:p>
        </w:tc>
        <w:tc>
          <w:tcPr>
            <w:tcW w:w="2413" w:type="dxa"/>
            <w:tcBorders>
              <w:top w:val="nil"/>
              <w:left w:val="nil"/>
              <w:bottom w:val="nil"/>
              <w:right w:val="nil"/>
            </w:tcBorders>
            <w:noWrap/>
            <w:vAlign w:val="bottom"/>
          </w:tcPr>
          <w:p>
            <w:pPr>
              <w:rPr>
                <w:rFonts w:ascii="Calibri" w:hAnsi="Calibri" w:cs="Calibri"/>
                <w:color w:val="000000"/>
                <w:sz w:val="18"/>
                <w:szCs w:val="18"/>
              </w:rPr>
            </w:pPr>
          </w:p>
        </w:tc>
        <w:tc>
          <w:tcPr>
            <w:tcW w:w="4580" w:type="dxa"/>
            <w:tcBorders>
              <w:top w:val="nil"/>
              <w:left w:val="nil"/>
              <w:bottom w:val="nil"/>
              <w:right w:val="nil"/>
            </w:tcBorders>
            <w:noWrap/>
            <w:vAlign w:val="bottom"/>
          </w:tcPr>
          <w:p>
            <w:pPr>
              <w:rPr>
                <w:rFonts w:ascii="Calibri" w:hAnsi="Calibri" w:cs="Calibri"/>
                <w:color w:val="000000"/>
                <w:sz w:val="18"/>
                <w:szCs w:val="18"/>
              </w:rPr>
            </w:pPr>
          </w:p>
        </w:tc>
        <w:tc>
          <w:tcPr>
            <w:tcW w:w="2350"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bl>
    <w:tbl>
      <w:tblPr>
        <w:tblStyle w:val="7"/>
        <w:tblpPr w:leftFromText="180" w:rightFromText="180" w:vertAnchor="text" w:horzAnchor="margin" w:tblpXSpec="right" w:tblpY="20"/>
        <w:tblW w:w="13452" w:type="dxa"/>
        <w:tblInd w:w="0" w:type="dxa"/>
        <w:tblLayout w:type="fixed"/>
        <w:tblCellMar>
          <w:top w:w="0" w:type="dxa"/>
          <w:left w:w="108" w:type="dxa"/>
          <w:bottom w:w="0" w:type="dxa"/>
          <w:right w:w="108" w:type="dxa"/>
        </w:tblCellMar>
      </w:tblPr>
      <w:tblGrid>
        <w:gridCol w:w="851"/>
        <w:gridCol w:w="1969"/>
        <w:gridCol w:w="851"/>
        <w:gridCol w:w="709"/>
        <w:gridCol w:w="708"/>
        <w:gridCol w:w="567"/>
        <w:gridCol w:w="709"/>
        <w:gridCol w:w="709"/>
        <w:gridCol w:w="567"/>
        <w:gridCol w:w="709"/>
        <w:gridCol w:w="567"/>
        <w:gridCol w:w="567"/>
        <w:gridCol w:w="567"/>
        <w:gridCol w:w="567"/>
        <w:gridCol w:w="567"/>
        <w:gridCol w:w="567"/>
        <w:gridCol w:w="567"/>
        <w:gridCol w:w="567"/>
        <w:gridCol w:w="567"/>
      </w:tblGrid>
      <w:tr>
        <w:tblPrEx>
          <w:tblCellMar>
            <w:top w:w="0" w:type="dxa"/>
            <w:left w:w="108" w:type="dxa"/>
            <w:bottom w:w="0" w:type="dxa"/>
            <w:right w:w="108" w:type="dxa"/>
          </w:tblCellMar>
        </w:tblPrEx>
        <w:trPr>
          <w:trHeight w:val="42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部门</w:t>
            </w:r>
          </w:p>
          <w:p>
            <w:pPr>
              <w:widowControl/>
              <w:ind w:left="150" w:hanging="150" w:hangingChars="100"/>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（单位）代码</w:t>
            </w: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部门（单位）名称</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6379"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本年收入</w:t>
            </w:r>
          </w:p>
        </w:tc>
        <w:tc>
          <w:tcPr>
            <w:tcW w:w="3402"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上年结转结余</w:t>
            </w:r>
          </w:p>
        </w:tc>
      </w:tr>
      <w:tr>
        <w:tblPrEx>
          <w:tblCellMar>
            <w:top w:w="0" w:type="dxa"/>
            <w:left w:w="108" w:type="dxa"/>
            <w:bottom w:w="0" w:type="dxa"/>
            <w:right w:w="108" w:type="dxa"/>
          </w:tblCellMar>
        </w:tblPrEx>
        <w:trPr>
          <w:trHeight w:val="87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b/>
                <w:bCs/>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小计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事业收入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上级补助收入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附属单位上缴收入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其他收入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小计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单位资金</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　</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122</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武汉市黄陂区长轩岭街道</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122003</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武汉市黄陂区长轩岭街道党员群众服务中心</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582.15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r>
    </w:tbl>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支出总表</w:t>
      </w:r>
    </w:p>
    <w:p>
      <w:pPr>
        <w:pStyle w:val="11"/>
        <w:ind w:left="720" w:firstLine="0" w:firstLineChars="0"/>
        <w:jc w:val="center"/>
        <w:rPr>
          <w:rFonts w:ascii="华文楷体" w:hAnsi="华文楷体" w:eastAsia="华文楷体"/>
          <w:sz w:val="28"/>
          <w:szCs w:val="28"/>
        </w:rPr>
      </w:pPr>
    </w:p>
    <w:tbl>
      <w:tblPr>
        <w:tblStyle w:val="7"/>
        <w:tblW w:w="9420" w:type="dxa"/>
        <w:tblInd w:w="-554" w:type="dxa"/>
        <w:tblLayout w:type="fixed"/>
        <w:tblCellMar>
          <w:top w:w="0" w:type="dxa"/>
          <w:left w:w="108" w:type="dxa"/>
          <w:bottom w:w="0" w:type="dxa"/>
          <w:right w:w="108" w:type="dxa"/>
        </w:tblCellMar>
      </w:tblPr>
      <w:tblGrid>
        <w:gridCol w:w="1149"/>
        <w:gridCol w:w="2552"/>
        <w:gridCol w:w="992"/>
        <w:gridCol w:w="851"/>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长轩岭街道党群中心</w:t>
            </w: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427"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项目支出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上缴上级支出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对附属单位补助支出</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合计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582.15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557.15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社会保障和就业支出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497.55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472.55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民政管理事务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421.06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396.06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基层政权建设和社区治理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421.06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396.06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行政事业单位养老支出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76.49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76.49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事业单位离退休</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29.81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29.81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机关事业单位基本养老保险缴费支出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46.68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46.68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卫生健康支出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行政事业单位医疗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事业单位医疗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住房保障支出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住房改革支出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住房公积金</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43.48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43.48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提租补贴</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7.78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7.78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r>
    </w:tbl>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财政拨款收支总表</w:t>
      </w:r>
    </w:p>
    <w:tbl>
      <w:tblPr>
        <w:tblStyle w:val="7"/>
        <w:tblpPr w:leftFromText="180" w:rightFromText="180" w:vertAnchor="text" w:horzAnchor="margin" w:tblpY="631"/>
        <w:tblW w:w="8655" w:type="dxa"/>
        <w:tblInd w:w="0"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长轩岭街道党群中心</w:t>
            </w:r>
          </w:p>
        </w:tc>
        <w:tc>
          <w:tcPr>
            <w:tcW w:w="123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bl>
    <w:p>
      <w:pPr>
        <w:pStyle w:val="11"/>
        <w:ind w:left="720" w:firstLine="0" w:firstLineChars="0"/>
        <w:jc w:val="center"/>
        <w:rPr>
          <w:rFonts w:ascii="华文楷体" w:hAnsi="华文楷体" w:eastAsia="华文楷体"/>
          <w:sz w:val="28"/>
          <w:szCs w:val="28"/>
        </w:rPr>
      </w:pPr>
    </w:p>
    <w:tbl>
      <w:tblPr>
        <w:tblStyle w:val="7"/>
        <w:tblW w:w="8510" w:type="dxa"/>
        <w:tblInd w:w="88" w:type="dxa"/>
        <w:tblLayout w:type="fixed"/>
        <w:tblCellMar>
          <w:top w:w="0" w:type="dxa"/>
          <w:left w:w="108" w:type="dxa"/>
          <w:bottom w:w="0" w:type="dxa"/>
          <w:right w:w="108" w:type="dxa"/>
        </w:tblCellMar>
      </w:tblPr>
      <w:tblGrid>
        <w:gridCol w:w="2675"/>
        <w:gridCol w:w="1215"/>
        <w:gridCol w:w="3060"/>
        <w:gridCol w:w="1560"/>
      </w:tblGrid>
      <w:tr>
        <w:tblPrEx>
          <w:tblCellMar>
            <w:top w:w="0" w:type="dxa"/>
            <w:left w:w="108" w:type="dxa"/>
            <w:bottom w:w="0" w:type="dxa"/>
            <w:right w:w="108" w:type="dxa"/>
          </w:tblCellMar>
        </w:tblPrEx>
        <w:trPr>
          <w:trHeight w:val="380" w:hRule="atLeast"/>
        </w:trPr>
        <w:tc>
          <w:tcPr>
            <w:tcW w:w="38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收      入</w:t>
            </w:r>
          </w:p>
        </w:tc>
        <w:tc>
          <w:tcPr>
            <w:tcW w:w="46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支      出</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一、本年收入</w:t>
            </w:r>
          </w:p>
        </w:tc>
        <w:tc>
          <w:tcPr>
            <w:tcW w:w="1215" w:type="dxa"/>
            <w:tcBorders>
              <w:top w:val="nil"/>
              <w:left w:val="nil"/>
              <w:bottom w:val="nil"/>
              <w:right w:val="nil"/>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582.15</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582.15</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582.15</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（一）一般公共服务支出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（二）公共安全支出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（三）教育支出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二、上年结转</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（四）科学技术支出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（五）文化旅游体育与传媒支出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（六）社会保障和就业支出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497.55</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（七）卫生健康支出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33.34</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（八）节能环保支出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（九）城乡社区支出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（十）农林水支出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（十一）交通运输支出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（十二）资源勘探工业信息等支出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（十三）商业服务业等支出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（十四）金融支出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（十五）援助其他地区支出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（十六）自然资源海洋气象等支出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（十七）住房保障支出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51.26</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（十八）粮油物资储备支出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（十九）国有资本经营预算支出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（二十）灾害防治及应急管理支出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（廿一）其他支出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（廿二）债务还本支出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（廿三）债务付息支出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（廿四）债务发行费用支出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二、年终结转结余</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收   入   总   计</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582.15</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支   出   总   计</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582.15</w:t>
            </w:r>
          </w:p>
        </w:tc>
      </w:tr>
    </w:tbl>
    <w:p>
      <w:pPr>
        <w:jc w:val="center"/>
        <w:rPr>
          <w:rFonts w:ascii="华文楷体" w:hAnsi="华文楷体" w:eastAsia="华文楷体"/>
          <w:sz w:val="28"/>
          <w:szCs w:val="28"/>
        </w:rPr>
      </w:pPr>
      <w:r>
        <w:rPr>
          <w:rFonts w:hint="eastAsia" w:ascii="华文楷体" w:hAnsi="华文楷体" w:eastAsia="华文楷体"/>
          <w:sz w:val="28"/>
          <w:szCs w:val="28"/>
        </w:rPr>
        <w:t>一般公共预算支出表</w:t>
      </w:r>
    </w:p>
    <w:tbl>
      <w:tblPr>
        <w:tblStyle w:val="7"/>
        <w:tblpPr w:leftFromText="180" w:rightFromText="180" w:vertAnchor="text" w:horzAnchor="margin" w:tblpXSpec="center" w:tblpY="577"/>
        <w:tblW w:w="8655" w:type="dxa"/>
        <w:tblInd w:w="0"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长轩岭街道党群中心</w:t>
            </w:r>
          </w:p>
        </w:tc>
        <w:tc>
          <w:tcPr>
            <w:tcW w:w="123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bl>
    <w:p>
      <w:pPr>
        <w:pStyle w:val="11"/>
        <w:ind w:left="720" w:firstLine="0" w:firstLineChars="0"/>
        <w:jc w:val="center"/>
        <w:rPr>
          <w:rFonts w:ascii="华文楷体" w:hAnsi="华文楷体" w:eastAsia="华文楷体"/>
          <w:sz w:val="28"/>
          <w:szCs w:val="28"/>
        </w:rPr>
      </w:pPr>
    </w:p>
    <w:tbl>
      <w:tblPr>
        <w:tblStyle w:val="7"/>
        <w:tblW w:w="9420" w:type="dxa"/>
        <w:tblInd w:w="-559" w:type="dxa"/>
        <w:tblLayout w:type="autofit"/>
        <w:tblCellMar>
          <w:top w:w="0" w:type="dxa"/>
          <w:left w:w="108" w:type="dxa"/>
          <w:bottom w:w="0" w:type="dxa"/>
          <w:right w:w="108" w:type="dxa"/>
        </w:tblCellMar>
      </w:tblPr>
      <w:tblGrid>
        <w:gridCol w:w="1149"/>
        <w:gridCol w:w="1876"/>
        <w:gridCol w:w="1055"/>
        <w:gridCol w:w="1385"/>
        <w:gridCol w:w="1386"/>
        <w:gridCol w:w="1386"/>
        <w:gridCol w:w="1183"/>
      </w:tblGrid>
      <w:tr>
        <w:tblPrEx>
          <w:tblCellMar>
            <w:top w:w="0" w:type="dxa"/>
            <w:left w:w="108" w:type="dxa"/>
            <w:bottom w:w="0" w:type="dxa"/>
            <w:right w:w="108" w:type="dxa"/>
          </w:tblCellMar>
        </w:tblPrEx>
        <w:trPr>
          <w:trHeight w:val="214" w:hRule="atLeast"/>
        </w:trPr>
        <w:tc>
          <w:tcPr>
            <w:tcW w:w="1149"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1876"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1055"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41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1183"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sz w:val="15"/>
                <w:szCs w:val="15"/>
              </w:rPr>
              <w:t>项目支出</w:t>
            </w:r>
          </w:p>
        </w:tc>
      </w:tr>
      <w:tr>
        <w:tblPrEx>
          <w:tblCellMar>
            <w:top w:w="0" w:type="dxa"/>
            <w:left w:w="108" w:type="dxa"/>
            <w:bottom w:w="0" w:type="dxa"/>
            <w:right w:w="108" w:type="dxa"/>
          </w:tblCellMar>
        </w:tblPrEx>
        <w:trPr>
          <w:trHeight w:val="214" w:hRule="atLeast"/>
        </w:trPr>
        <w:tc>
          <w:tcPr>
            <w:tcW w:w="1149"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876"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055"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小计</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人员经费</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公用经费</w:t>
            </w:r>
          </w:p>
        </w:tc>
        <w:tc>
          <w:tcPr>
            <w:tcW w:w="1183"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合计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582.15</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557.15</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542.13</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15.02</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社会保障和就业支出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497.55</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472.55</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457.53</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15.02</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民政管理事务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421.06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396.06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381.13</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14.93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基层政权建设和社区治理</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421.06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396.06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381.13</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14.93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行政事业单位养老支出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76.49</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76.49</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76.40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0.09</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事业单位离退休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29.81</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29.81</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29.72</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0.09</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机关事业单位基本养老保险缴费支出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46.68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46.68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46.68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卫生健康支出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33.34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住房保障支出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住房改革支出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51.26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住房公积金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43.48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43.48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43.48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提租补贴</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7.78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7.78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7.78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bl>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jc w:val="center"/>
        <w:rPr>
          <w:rFonts w:ascii="华文楷体" w:hAnsi="华文楷体" w:eastAsia="华文楷体"/>
          <w:sz w:val="28"/>
          <w:szCs w:val="28"/>
        </w:rPr>
      </w:pPr>
      <w:r>
        <w:rPr>
          <w:rFonts w:hint="eastAsia" w:ascii="华文楷体" w:hAnsi="华文楷体" w:eastAsia="华文楷体"/>
          <w:sz w:val="28"/>
          <w:szCs w:val="28"/>
        </w:rPr>
        <w:t>一般公共预算基本支出表</w:t>
      </w:r>
    </w:p>
    <w:tbl>
      <w:tblPr>
        <w:tblStyle w:val="7"/>
        <w:tblpPr w:leftFromText="180" w:rightFromText="180" w:vertAnchor="text" w:horzAnchor="page" w:tblpX="2244" w:tblpY="541"/>
        <w:tblW w:w="8655" w:type="dxa"/>
        <w:tblInd w:w="0"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长轩岭街道党群中心</w:t>
            </w:r>
          </w:p>
        </w:tc>
        <w:tc>
          <w:tcPr>
            <w:tcW w:w="123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bl>
    <w:p>
      <w:pPr>
        <w:jc w:val="center"/>
        <w:rPr>
          <w:rFonts w:ascii="华文楷体" w:hAnsi="华文楷体" w:eastAsia="华文楷体"/>
          <w:sz w:val="28"/>
          <w:szCs w:val="28"/>
        </w:rPr>
      </w:pPr>
    </w:p>
    <w:tbl>
      <w:tblPr>
        <w:tblStyle w:val="7"/>
        <w:tblW w:w="8655" w:type="dxa"/>
        <w:tblInd w:w="-5"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42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部门预算支出经济分类科目</w:t>
            </w:r>
          </w:p>
        </w:tc>
        <w:tc>
          <w:tcPr>
            <w:tcW w:w="44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本年一般公共预算基本支出</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科目编码</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科目名称</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人员经费</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公用经费</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557.15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542.13</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15.02</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512.41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512.41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基本工资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96.88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96.88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津贴补贴</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20.77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20.77</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奖金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184.00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184.00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绩效工资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68.50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68.50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机关事业单位基本养老保险缴费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46.68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46.68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30110</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职工基本医疗保险缴费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31.53</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31.53</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其他社会保障缴费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4.35</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住房公积金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43.48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43.48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16.23</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16.23</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15.02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15.02</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办公费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1.70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1.70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印刷费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30205</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0.30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0.30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邮电费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30217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公务接待费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劳务费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工会经费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4.83</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4.83</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30229</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福利费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0.17</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0.17</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30239</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其他交通费用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30299</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其他商品和服务支出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0.51</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0.51</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303</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对个人和家庭的补助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29.72</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29.72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30302</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退休费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29.72</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29.72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bl>
    <w:p>
      <w:pPr>
        <w:jc w:val="center"/>
        <w:rPr>
          <w:rFonts w:ascii="华文楷体" w:hAnsi="华文楷体" w:eastAsia="华文楷体" w:cs="宋体"/>
          <w:color w:val="000000"/>
          <w:kern w:val="0"/>
          <w:sz w:val="15"/>
          <w:szCs w:val="15"/>
          <w:lang w:bidi="ar"/>
        </w:rPr>
      </w:pPr>
    </w:p>
    <w:p>
      <w:pPr>
        <w:spacing w:line="500" w:lineRule="exact"/>
        <w:ind w:firstLine="640" w:firstLineChars="200"/>
        <w:jc w:val="left"/>
        <w:rPr>
          <w:rFonts w:ascii="黑体" w:hAnsi="黑体" w:eastAsia="黑体"/>
          <w:sz w:val="32"/>
          <w:szCs w:val="32"/>
        </w:rPr>
        <w:sectPr>
          <w:pgSz w:w="11906" w:h="16838"/>
          <w:pgMar w:top="1440" w:right="1797" w:bottom="1440" w:left="1797" w:header="851" w:footer="992" w:gutter="0"/>
          <w:cols w:space="425" w:num="1"/>
          <w:docGrid w:type="lines" w:linePitch="312" w:charSpace="0"/>
        </w:sect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一般公共预算“三公”经费支出表</w:t>
      </w:r>
    </w:p>
    <w:p>
      <w:pPr>
        <w:pStyle w:val="11"/>
        <w:ind w:left="720" w:firstLine="0" w:firstLineChars="0"/>
        <w:jc w:val="center"/>
        <w:rPr>
          <w:rFonts w:ascii="华文楷体" w:hAnsi="华文楷体" w:eastAsia="华文楷体"/>
          <w:sz w:val="28"/>
          <w:szCs w:val="28"/>
        </w:rPr>
      </w:pPr>
    </w:p>
    <w:tbl>
      <w:tblPr>
        <w:tblStyle w:val="7"/>
        <w:tblW w:w="12000" w:type="dxa"/>
        <w:tblInd w:w="1079" w:type="dxa"/>
        <w:tblLayout w:type="fixed"/>
        <w:tblCellMar>
          <w:top w:w="0" w:type="dxa"/>
          <w:left w:w="108" w:type="dxa"/>
          <w:bottom w:w="0" w:type="dxa"/>
          <w:right w:w="108" w:type="dxa"/>
        </w:tblCellMar>
      </w:tblPr>
      <w:tblGrid>
        <w:gridCol w:w="1425"/>
        <w:gridCol w:w="2205"/>
        <w:gridCol w:w="1380"/>
        <w:gridCol w:w="2565"/>
        <w:gridCol w:w="2475"/>
        <w:gridCol w:w="1950"/>
      </w:tblGrid>
      <w:tr>
        <w:tblPrEx>
          <w:tblCellMar>
            <w:top w:w="0" w:type="dxa"/>
            <w:left w:w="108" w:type="dxa"/>
            <w:bottom w:w="0" w:type="dxa"/>
            <w:right w:w="108" w:type="dxa"/>
          </w:tblCellMar>
        </w:tblPrEx>
        <w:trPr>
          <w:trHeight w:val="420" w:hRule="atLeast"/>
        </w:trPr>
        <w:tc>
          <w:tcPr>
            <w:tcW w:w="1425" w:type="dxa"/>
            <w:tcBorders>
              <w:top w:val="nil"/>
              <w:left w:val="nil"/>
              <w:bottom w:val="nil"/>
              <w:right w:val="nil"/>
            </w:tcBorders>
            <w:noWrap/>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205" w:type="dxa"/>
            <w:tcBorders>
              <w:top w:val="nil"/>
              <w:left w:val="nil"/>
              <w:bottom w:val="nil"/>
              <w:right w:val="nil"/>
            </w:tcBorders>
            <w:noWrap/>
            <w:vAlign w:val="bottom"/>
          </w:tcPr>
          <w:p>
            <w:pPr>
              <w:spacing w:line="600" w:lineRule="auto"/>
              <w:rPr>
                <w:rFonts w:ascii="宋体" w:hAnsi="宋体" w:cs="宋体"/>
                <w:color w:val="000000"/>
                <w:kern w:val="0"/>
                <w:sz w:val="22"/>
                <w:lang w:bidi="ar"/>
              </w:rPr>
            </w:pPr>
            <w:r>
              <w:rPr>
                <w:rFonts w:hint="eastAsia" w:ascii="宋体" w:hAnsi="宋体" w:cs="宋体"/>
                <w:color w:val="000000"/>
                <w:kern w:val="0"/>
                <w:sz w:val="22"/>
                <w:lang w:bidi="ar"/>
              </w:rPr>
              <w:t>长轩岭街道党群中心</w:t>
            </w:r>
          </w:p>
        </w:tc>
        <w:tc>
          <w:tcPr>
            <w:tcW w:w="1380" w:type="dxa"/>
            <w:tcBorders>
              <w:top w:val="nil"/>
              <w:left w:val="nil"/>
              <w:bottom w:val="nil"/>
              <w:right w:val="nil"/>
            </w:tcBorders>
            <w:noWrap/>
            <w:vAlign w:val="bottom"/>
          </w:tcPr>
          <w:p>
            <w:pPr>
              <w:rPr>
                <w:rFonts w:ascii="宋体" w:hAnsi="宋体" w:cs="宋体"/>
                <w:color w:val="000000"/>
                <w:kern w:val="0"/>
                <w:sz w:val="22"/>
                <w:lang w:bidi="ar"/>
              </w:rPr>
            </w:pPr>
          </w:p>
        </w:tc>
        <w:tc>
          <w:tcPr>
            <w:tcW w:w="2565" w:type="dxa"/>
            <w:tcBorders>
              <w:top w:val="nil"/>
              <w:left w:val="nil"/>
              <w:bottom w:val="nil"/>
              <w:right w:val="nil"/>
            </w:tcBorders>
            <w:noWrap/>
            <w:vAlign w:val="bottom"/>
          </w:tcPr>
          <w:p>
            <w:pPr>
              <w:rPr>
                <w:rFonts w:ascii="Calibri" w:hAnsi="Calibri" w:cs="Calibri"/>
                <w:color w:val="000000"/>
                <w:sz w:val="22"/>
              </w:rPr>
            </w:pPr>
          </w:p>
        </w:tc>
        <w:tc>
          <w:tcPr>
            <w:tcW w:w="2475" w:type="dxa"/>
            <w:tcBorders>
              <w:top w:val="nil"/>
              <w:left w:val="nil"/>
              <w:bottom w:val="nil"/>
              <w:right w:val="nil"/>
            </w:tcBorders>
            <w:noWrap/>
            <w:vAlign w:val="bottom"/>
          </w:tcPr>
          <w:p>
            <w:pPr>
              <w:rPr>
                <w:rFonts w:ascii="Calibri" w:hAnsi="Calibri" w:cs="Calibri"/>
                <w:color w:val="000000"/>
                <w:sz w:val="22"/>
              </w:rPr>
            </w:pPr>
          </w:p>
        </w:tc>
        <w:tc>
          <w:tcPr>
            <w:tcW w:w="195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r>
        <w:tblPrEx>
          <w:tblCellMar>
            <w:top w:w="0" w:type="dxa"/>
            <w:left w:w="108" w:type="dxa"/>
            <w:bottom w:w="0" w:type="dxa"/>
            <w:right w:w="108" w:type="dxa"/>
          </w:tblCellMar>
        </w:tblPrEx>
        <w:trPr>
          <w:trHeight w:val="590" w:hRule="atLeast"/>
        </w:trPr>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“三公”经费合计</w:t>
            </w:r>
          </w:p>
        </w:tc>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因公出国（境）费</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trHeight w:val="620" w:hRule="atLeast"/>
        </w:trPr>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公务用车购置费</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公务用车运行费</w:t>
            </w:r>
          </w:p>
        </w:tc>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62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cs="Arial"/>
                <w:color w:val="000000"/>
                <w:sz w:val="22"/>
              </w:rPr>
            </w:pPr>
            <w:r>
              <w:rPr>
                <w:rFonts w:hint="eastAsia" w:cs="Arial"/>
                <w:color w:val="000000"/>
                <w:sz w:val="22"/>
              </w:rPr>
              <w:t>2.50</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2.50</w:t>
            </w:r>
          </w:p>
        </w:tc>
      </w:tr>
    </w:tbl>
    <w:p>
      <w:pPr>
        <w:pStyle w:val="11"/>
        <w:ind w:left="720" w:firstLine="0" w:firstLineChars="0"/>
        <w:jc w:val="center"/>
        <w:rPr>
          <w:rFonts w:ascii="华文楷体" w:hAnsi="华文楷体" w:eastAsia="华文楷体"/>
          <w:sz w:val="28"/>
          <w:szCs w:val="28"/>
        </w:rPr>
      </w:pPr>
    </w:p>
    <w:p>
      <w:pPr>
        <w:pStyle w:val="2"/>
        <w:ind w:firstLine="320"/>
        <w:rPr>
          <w:rFonts w:hint="eastAsia" w:eastAsia="宋体"/>
          <w:lang w:eastAsia="zh-CN"/>
        </w:rPr>
      </w:pPr>
      <w:r>
        <w:rPr>
          <w:rFonts w:hint="eastAsia"/>
        </w:rPr>
        <w:t>注：黄陂区</w:t>
      </w:r>
      <w:r>
        <w:rPr>
          <w:rFonts w:hint="eastAsia"/>
          <w:lang w:eastAsia="zh-CN"/>
        </w:rPr>
        <w:t>长轩岭党员群众服务中心</w:t>
      </w:r>
      <w:r>
        <w:rPr>
          <w:rFonts w:hint="eastAsia"/>
        </w:rPr>
        <w:t>2023年无“三公”经费预算</w:t>
      </w:r>
      <w:r>
        <w:rPr>
          <w:rFonts w:hint="eastAsia"/>
          <w:lang w:eastAsia="zh-CN"/>
        </w:rPr>
        <w:t>。</w:t>
      </w: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政府性基金预算支出表</w:t>
      </w:r>
    </w:p>
    <w:tbl>
      <w:tblPr>
        <w:tblStyle w:val="7"/>
        <w:tblW w:w="12480" w:type="dxa"/>
        <w:tblInd w:w="742" w:type="dxa"/>
        <w:tblLayout w:type="fixed"/>
        <w:tblCellMar>
          <w:top w:w="0" w:type="dxa"/>
          <w:left w:w="108" w:type="dxa"/>
          <w:bottom w:w="0" w:type="dxa"/>
          <w:right w:w="108" w:type="dxa"/>
        </w:tblCellMar>
      </w:tblPr>
      <w:tblGrid>
        <w:gridCol w:w="1482"/>
        <w:gridCol w:w="2293"/>
        <w:gridCol w:w="1435"/>
        <w:gridCol w:w="2668"/>
        <w:gridCol w:w="2574"/>
        <w:gridCol w:w="2028"/>
      </w:tblGrid>
      <w:tr>
        <w:tblPrEx>
          <w:tblCellMar>
            <w:top w:w="0" w:type="dxa"/>
            <w:left w:w="108" w:type="dxa"/>
            <w:bottom w:w="0" w:type="dxa"/>
            <w:right w:w="108" w:type="dxa"/>
          </w:tblCellMar>
        </w:tblPrEx>
        <w:trPr>
          <w:trHeight w:val="420" w:hRule="atLeast"/>
        </w:trPr>
        <w:tc>
          <w:tcPr>
            <w:tcW w:w="1482" w:type="dxa"/>
            <w:tcBorders>
              <w:top w:val="nil"/>
              <w:left w:val="nil"/>
              <w:bottom w:val="nil"/>
              <w:right w:val="nil"/>
            </w:tcBorders>
            <w:noWrap/>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293" w:type="dxa"/>
            <w:tcBorders>
              <w:top w:val="nil"/>
              <w:left w:val="nil"/>
              <w:bottom w:val="nil"/>
              <w:right w:val="nil"/>
            </w:tcBorders>
            <w:noWrap/>
            <w:vAlign w:val="bottom"/>
          </w:tcPr>
          <w:p>
            <w:pPr>
              <w:spacing w:line="600" w:lineRule="auto"/>
              <w:rPr>
                <w:rFonts w:ascii="宋体" w:hAnsi="宋体" w:cs="宋体"/>
                <w:color w:val="000000"/>
                <w:kern w:val="0"/>
                <w:sz w:val="22"/>
                <w:lang w:bidi="ar"/>
              </w:rPr>
            </w:pPr>
            <w:r>
              <w:rPr>
                <w:rFonts w:hint="eastAsia" w:ascii="宋体" w:hAnsi="宋体" w:cs="宋体"/>
                <w:color w:val="000000"/>
                <w:kern w:val="0"/>
                <w:sz w:val="22"/>
                <w:lang w:bidi="ar"/>
              </w:rPr>
              <w:t>长轩岭街道党群中心</w:t>
            </w:r>
          </w:p>
        </w:tc>
        <w:tc>
          <w:tcPr>
            <w:tcW w:w="1435" w:type="dxa"/>
            <w:tcBorders>
              <w:top w:val="nil"/>
              <w:left w:val="nil"/>
              <w:bottom w:val="nil"/>
              <w:right w:val="nil"/>
            </w:tcBorders>
            <w:noWrap/>
            <w:vAlign w:val="bottom"/>
          </w:tcPr>
          <w:p>
            <w:pPr>
              <w:rPr>
                <w:rFonts w:ascii="宋体" w:hAnsi="宋体" w:cs="宋体"/>
                <w:color w:val="000000"/>
                <w:kern w:val="0"/>
                <w:sz w:val="22"/>
                <w:lang w:bidi="ar"/>
              </w:rPr>
            </w:pPr>
          </w:p>
        </w:tc>
        <w:tc>
          <w:tcPr>
            <w:tcW w:w="2668" w:type="dxa"/>
            <w:tcBorders>
              <w:top w:val="nil"/>
              <w:left w:val="nil"/>
              <w:bottom w:val="nil"/>
              <w:right w:val="nil"/>
            </w:tcBorders>
            <w:noWrap/>
            <w:vAlign w:val="bottom"/>
          </w:tcPr>
          <w:p>
            <w:pPr>
              <w:rPr>
                <w:rFonts w:ascii="Calibri" w:hAnsi="Calibri" w:cs="Calibri"/>
                <w:color w:val="000000"/>
                <w:sz w:val="22"/>
              </w:rPr>
            </w:pPr>
          </w:p>
        </w:tc>
        <w:tc>
          <w:tcPr>
            <w:tcW w:w="2574" w:type="dxa"/>
            <w:tcBorders>
              <w:top w:val="nil"/>
              <w:left w:val="nil"/>
              <w:bottom w:val="nil"/>
              <w:right w:val="nil"/>
            </w:tcBorders>
            <w:noWrap/>
            <w:vAlign w:val="bottom"/>
          </w:tcPr>
          <w:p>
            <w:pPr>
              <w:rPr>
                <w:rFonts w:ascii="Calibri" w:hAnsi="Calibri" w:cs="Calibri"/>
                <w:color w:val="000000"/>
                <w:sz w:val="22"/>
              </w:rPr>
            </w:pPr>
          </w:p>
        </w:tc>
        <w:tc>
          <w:tcPr>
            <w:tcW w:w="2028"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tbl>
      <w:tblPr>
        <w:tblStyle w:val="7"/>
        <w:tblpPr w:leftFromText="180" w:rightFromText="180" w:vertAnchor="text" w:horzAnchor="margin" w:tblpXSpec="center" w:tblpY="63"/>
        <w:tblW w:w="12480" w:type="dxa"/>
        <w:tblInd w:w="0"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650" w:hRule="atLeast"/>
        </w:trPr>
        <w:tc>
          <w:tcPr>
            <w:tcW w:w="22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25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76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本年政府性基金预算支出</w:t>
            </w:r>
          </w:p>
        </w:tc>
      </w:tr>
      <w:tr>
        <w:tblPrEx>
          <w:tblCellMar>
            <w:top w:w="0" w:type="dxa"/>
            <w:left w:w="108" w:type="dxa"/>
            <w:bottom w:w="0" w:type="dxa"/>
            <w:right w:w="108" w:type="dxa"/>
          </w:tblCellMar>
        </w:tblPrEx>
        <w:trPr>
          <w:trHeight w:val="755" w:hRule="atLeast"/>
        </w:trPr>
        <w:tc>
          <w:tcPr>
            <w:tcW w:w="22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690" w:hRule="atLeast"/>
        </w:trPr>
        <w:tc>
          <w:tcPr>
            <w:tcW w:w="2235"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6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r>
    </w:tbl>
    <w:p>
      <w:pPr>
        <w:pStyle w:val="11"/>
        <w:ind w:left="720" w:firstLine="0" w:firstLineChars="0"/>
        <w:jc w:val="center"/>
        <w:rPr>
          <w:rFonts w:ascii="华文楷体" w:hAnsi="华文楷体" w:eastAsia="华文楷体"/>
          <w:sz w:val="28"/>
          <w:szCs w:val="28"/>
        </w:rPr>
      </w:pPr>
    </w:p>
    <w:p>
      <w:pPr>
        <w:jc w:val="center"/>
        <w:rPr>
          <w:rFonts w:ascii="华文楷体" w:hAnsi="华文楷体" w:eastAsia="华文楷体" w:cs="宋体"/>
          <w:color w:val="000000"/>
          <w:kern w:val="0"/>
          <w:sz w:val="15"/>
          <w:szCs w:val="15"/>
          <w:lang w:bidi="ar"/>
        </w:rPr>
      </w:pPr>
    </w:p>
    <w:p>
      <w:pPr>
        <w:jc w:val="center"/>
        <w:rPr>
          <w:rFonts w:ascii="华文楷体" w:hAnsi="华文楷体" w:eastAsia="华文楷体" w:cs="宋体"/>
          <w:color w:val="000000"/>
          <w:kern w:val="0"/>
          <w:sz w:val="15"/>
          <w:szCs w:val="15"/>
          <w:lang w:bidi="ar"/>
        </w:rPr>
      </w:pPr>
    </w:p>
    <w:p>
      <w:pPr>
        <w:jc w:val="center"/>
        <w:rPr>
          <w:rFonts w:ascii="华文楷体" w:hAnsi="华文楷体" w:eastAsia="华文楷体" w:cs="宋体"/>
          <w:color w:val="000000"/>
          <w:kern w:val="0"/>
          <w:sz w:val="15"/>
          <w:szCs w:val="15"/>
          <w:lang w:bidi="ar"/>
        </w:rPr>
      </w:pPr>
    </w:p>
    <w:p>
      <w:pPr>
        <w:jc w:val="center"/>
        <w:rPr>
          <w:rFonts w:ascii="华文楷体" w:hAnsi="华文楷体" w:eastAsia="华文楷体" w:cs="宋体"/>
          <w:color w:val="000000"/>
          <w:kern w:val="0"/>
          <w:sz w:val="15"/>
          <w:szCs w:val="15"/>
          <w:lang w:bidi="ar"/>
        </w:rPr>
      </w:pPr>
    </w:p>
    <w:p>
      <w:pPr>
        <w:jc w:val="center"/>
        <w:rPr>
          <w:rFonts w:ascii="华文楷体" w:hAnsi="华文楷体" w:eastAsia="华文楷体" w:cs="宋体"/>
          <w:color w:val="000000"/>
          <w:kern w:val="0"/>
          <w:sz w:val="15"/>
          <w:szCs w:val="15"/>
          <w:lang w:bidi="ar"/>
        </w:rPr>
      </w:pPr>
    </w:p>
    <w:p>
      <w:pPr>
        <w:spacing w:line="500" w:lineRule="exact"/>
        <w:ind w:firstLine="640" w:firstLineChars="200"/>
        <w:jc w:val="left"/>
        <w:rPr>
          <w:rFonts w:ascii="黑体" w:hAnsi="黑体" w:eastAsia="黑体"/>
          <w:sz w:val="32"/>
          <w:szCs w:val="32"/>
        </w:rPr>
      </w:pPr>
    </w:p>
    <w:p>
      <w:pPr>
        <w:pStyle w:val="2"/>
        <w:ind w:firstLine="320"/>
        <w:rPr>
          <w:rFonts w:hint="eastAsia" w:eastAsia="宋体"/>
          <w:lang w:eastAsia="zh-CN"/>
        </w:rPr>
      </w:pPr>
      <w:r>
        <w:rPr>
          <w:rFonts w:hint="eastAsia"/>
        </w:rPr>
        <w:t>注：黄陂区</w:t>
      </w:r>
      <w:r>
        <w:rPr>
          <w:rFonts w:hint="eastAsia"/>
          <w:lang w:eastAsia="zh-CN"/>
        </w:rPr>
        <w:t>长轩岭街道党员群众服务中心</w:t>
      </w:r>
      <w:r>
        <w:rPr>
          <w:rFonts w:hint="eastAsia"/>
        </w:rPr>
        <w:t>2023年无政府性基金预算</w:t>
      </w:r>
      <w:r>
        <w:rPr>
          <w:rFonts w:hint="eastAsia"/>
          <w:lang w:eastAsia="zh-CN"/>
        </w:rPr>
        <w:t>。</w:t>
      </w: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spacing w:line="500" w:lineRule="exact"/>
        <w:ind w:firstLine="640" w:firstLineChars="200"/>
        <w:jc w:val="left"/>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项目支出表</w:t>
      </w:r>
    </w:p>
    <w:tbl>
      <w:tblPr>
        <w:tblStyle w:val="7"/>
        <w:tblW w:w="13676" w:type="dxa"/>
        <w:tblInd w:w="93" w:type="dxa"/>
        <w:tblLayout w:type="fixed"/>
        <w:tblCellMar>
          <w:top w:w="0" w:type="dxa"/>
          <w:left w:w="108" w:type="dxa"/>
          <w:bottom w:w="0" w:type="dxa"/>
          <w:right w:w="108" w:type="dxa"/>
        </w:tblCellMar>
      </w:tblPr>
      <w:tblGrid>
        <w:gridCol w:w="1624"/>
        <w:gridCol w:w="2513"/>
        <w:gridCol w:w="1573"/>
        <w:gridCol w:w="2923"/>
        <w:gridCol w:w="2821"/>
        <w:gridCol w:w="2222"/>
      </w:tblGrid>
      <w:tr>
        <w:tblPrEx>
          <w:tblCellMar>
            <w:top w:w="0" w:type="dxa"/>
            <w:left w:w="108" w:type="dxa"/>
            <w:bottom w:w="0" w:type="dxa"/>
            <w:right w:w="108" w:type="dxa"/>
          </w:tblCellMar>
        </w:tblPrEx>
        <w:trPr>
          <w:trHeight w:val="420" w:hRule="atLeast"/>
        </w:trPr>
        <w:tc>
          <w:tcPr>
            <w:tcW w:w="1425" w:type="dxa"/>
            <w:tcBorders>
              <w:top w:val="nil"/>
              <w:left w:val="nil"/>
              <w:bottom w:val="nil"/>
              <w:right w:val="nil"/>
            </w:tcBorders>
            <w:noWrap/>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205" w:type="dxa"/>
            <w:tcBorders>
              <w:top w:val="nil"/>
              <w:left w:val="nil"/>
              <w:bottom w:val="nil"/>
              <w:right w:val="nil"/>
            </w:tcBorders>
            <w:noWrap/>
            <w:vAlign w:val="bottom"/>
          </w:tcPr>
          <w:p>
            <w:pPr>
              <w:spacing w:line="600" w:lineRule="auto"/>
              <w:rPr>
                <w:rFonts w:ascii="宋体" w:hAnsi="宋体" w:cs="宋体"/>
                <w:color w:val="000000"/>
                <w:kern w:val="0"/>
                <w:sz w:val="22"/>
                <w:lang w:bidi="ar"/>
              </w:rPr>
            </w:pPr>
            <w:r>
              <w:rPr>
                <w:rFonts w:hint="eastAsia" w:ascii="宋体" w:hAnsi="宋体" w:cs="宋体"/>
                <w:color w:val="000000"/>
                <w:kern w:val="0"/>
                <w:sz w:val="22"/>
                <w:lang w:bidi="ar"/>
              </w:rPr>
              <w:t>长轩岭街道党群中心</w:t>
            </w:r>
          </w:p>
        </w:tc>
        <w:tc>
          <w:tcPr>
            <w:tcW w:w="1380" w:type="dxa"/>
            <w:tcBorders>
              <w:top w:val="nil"/>
              <w:left w:val="nil"/>
              <w:bottom w:val="nil"/>
              <w:right w:val="nil"/>
            </w:tcBorders>
            <w:noWrap/>
            <w:vAlign w:val="bottom"/>
          </w:tcPr>
          <w:p>
            <w:pPr>
              <w:rPr>
                <w:rFonts w:ascii="宋体" w:hAnsi="宋体" w:cs="宋体"/>
                <w:color w:val="000000"/>
                <w:kern w:val="0"/>
                <w:sz w:val="22"/>
                <w:lang w:bidi="ar"/>
              </w:rPr>
            </w:pPr>
          </w:p>
        </w:tc>
        <w:tc>
          <w:tcPr>
            <w:tcW w:w="2565" w:type="dxa"/>
            <w:tcBorders>
              <w:top w:val="nil"/>
              <w:left w:val="nil"/>
              <w:bottom w:val="nil"/>
              <w:right w:val="nil"/>
            </w:tcBorders>
            <w:noWrap/>
            <w:vAlign w:val="bottom"/>
          </w:tcPr>
          <w:p>
            <w:pPr>
              <w:rPr>
                <w:rFonts w:ascii="Calibri" w:hAnsi="Calibri" w:cs="Calibri"/>
                <w:color w:val="000000"/>
                <w:sz w:val="22"/>
              </w:rPr>
            </w:pPr>
          </w:p>
        </w:tc>
        <w:tc>
          <w:tcPr>
            <w:tcW w:w="2475" w:type="dxa"/>
            <w:tcBorders>
              <w:top w:val="nil"/>
              <w:left w:val="nil"/>
              <w:bottom w:val="nil"/>
              <w:right w:val="nil"/>
            </w:tcBorders>
            <w:noWrap/>
            <w:vAlign w:val="bottom"/>
          </w:tcPr>
          <w:p>
            <w:pPr>
              <w:rPr>
                <w:rFonts w:ascii="Calibri" w:hAnsi="Calibri" w:cs="Calibri"/>
                <w:color w:val="000000"/>
                <w:sz w:val="22"/>
              </w:rPr>
            </w:pPr>
          </w:p>
        </w:tc>
        <w:tc>
          <w:tcPr>
            <w:tcW w:w="195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tbl>
      <w:tblPr>
        <w:tblStyle w:val="7"/>
        <w:tblpPr w:leftFromText="180" w:rightFromText="180" w:vertAnchor="text" w:horzAnchor="margin" w:tblpY="19"/>
        <w:tblW w:w="13676" w:type="dxa"/>
        <w:tblInd w:w="0" w:type="dxa"/>
        <w:tblLayout w:type="fixed"/>
        <w:tblCellMar>
          <w:top w:w="0" w:type="dxa"/>
          <w:left w:w="108" w:type="dxa"/>
          <w:bottom w:w="0" w:type="dxa"/>
          <w:right w:w="108" w:type="dxa"/>
        </w:tblCellMar>
      </w:tblPr>
      <w:tblGrid>
        <w:gridCol w:w="2000"/>
        <w:gridCol w:w="1559"/>
        <w:gridCol w:w="3544"/>
        <w:gridCol w:w="1276"/>
        <w:gridCol w:w="742"/>
        <w:gridCol w:w="1100"/>
        <w:gridCol w:w="567"/>
        <w:gridCol w:w="567"/>
        <w:gridCol w:w="567"/>
        <w:gridCol w:w="567"/>
        <w:gridCol w:w="567"/>
        <w:gridCol w:w="620"/>
      </w:tblGrid>
      <w:tr>
        <w:tblPrEx>
          <w:tblCellMar>
            <w:top w:w="0" w:type="dxa"/>
            <w:left w:w="108" w:type="dxa"/>
            <w:bottom w:w="0" w:type="dxa"/>
            <w:right w:w="108" w:type="dxa"/>
          </w:tblCellMar>
        </w:tblPrEx>
        <w:trPr>
          <w:trHeight w:val="293" w:hRule="atLeast"/>
        </w:trPr>
        <w:tc>
          <w:tcPr>
            <w:tcW w:w="2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项目编码</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项目名称</w:t>
            </w:r>
          </w:p>
        </w:tc>
        <w:tc>
          <w:tcPr>
            <w:tcW w:w="35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项目单位</w:t>
            </w:r>
          </w:p>
        </w:tc>
        <w:tc>
          <w:tcPr>
            <w:tcW w:w="12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合计</w:t>
            </w: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本年拨款</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财政拨款结转结余</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单位资金</w:t>
            </w:r>
          </w:p>
        </w:tc>
      </w:tr>
      <w:tr>
        <w:tblPrEx>
          <w:tblCellMar>
            <w:top w:w="0" w:type="dxa"/>
            <w:left w:w="108" w:type="dxa"/>
            <w:bottom w:w="0" w:type="dxa"/>
            <w:right w:w="108" w:type="dxa"/>
          </w:tblCellMar>
        </w:tblPrEx>
        <w:trPr>
          <w:trHeight w:val="427" w:hRule="atLeast"/>
        </w:trPr>
        <w:tc>
          <w:tcPr>
            <w:tcW w:w="2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2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16"/>
                <w:szCs w:val="16"/>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r>
      <w:tr>
        <w:tblPrEx>
          <w:tblCellMar>
            <w:top w:w="0" w:type="dxa"/>
            <w:left w:w="108" w:type="dxa"/>
            <w:bottom w:w="0" w:type="dxa"/>
            <w:right w:w="108" w:type="dxa"/>
          </w:tblCellMar>
        </w:tblPrEx>
        <w:trPr>
          <w:trHeight w:val="4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122</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left"/>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122003</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武汉市黄陂区长轩岭街道党员群众服务中心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本级支出项目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党群中心工作经费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武汉市黄陂区长轩岭街道党员群众服务中心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25.00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bl>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tbl>
      <w:tblPr>
        <w:tblStyle w:val="7"/>
        <w:tblpPr w:leftFromText="180" w:rightFromText="180" w:vertAnchor="page" w:horzAnchor="margin" w:tblpXSpec="center" w:tblpY="2042"/>
        <w:tblW w:w="8948" w:type="dxa"/>
        <w:tblInd w:w="0" w:type="dxa"/>
        <w:tblLayout w:type="fixed"/>
        <w:tblCellMar>
          <w:top w:w="0" w:type="dxa"/>
          <w:left w:w="0" w:type="dxa"/>
          <w:bottom w:w="0" w:type="dxa"/>
          <w:right w:w="0" w:type="dxa"/>
        </w:tblCellMar>
      </w:tblPr>
      <w:tblGrid>
        <w:gridCol w:w="1123"/>
        <w:gridCol w:w="967"/>
        <w:gridCol w:w="1171"/>
        <w:gridCol w:w="867"/>
        <w:gridCol w:w="86"/>
        <w:gridCol w:w="7"/>
        <w:gridCol w:w="333"/>
        <w:gridCol w:w="850"/>
        <w:gridCol w:w="1134"/>
        <w:gridCol w:w="1276"/>
        <w:gridCol w:w="1134"/>
      </w:tblGrid>
      <w:tr>
        <w:tblPrEx>
          <w:tblCellMar>
            <w:top w:w="0" w:type="dxa"/>
            <w:left w:w="0" w:type="dxa"/>
            <w:bottom w:w="0" w:type="dxa"/>
            <w:right w:w="0" w:type="dxa"/>
          </w:tblCellMar>
        </w:tblPrEx>
        <w:trPr>
          <w:trHeight w:val="465" w:hRule="atLeast"/>
        </w:trPr>
        <w:tc>
          <w:tcPr>
            <w:tcW w:w="894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eastAsia="zh-CN" w:bidi="ar"/>
              </w:rPr>
              <w:t>十、</w:t>
            </w:r>
            <w:r>
              <w:rPr>
                <w:rFonts w:hint="eastAsia" w:ascii="黑体" w:hAnsi="黑体" w:eastAsia="黑体" w:cs="宋体"/>
                <w:color w:val="000000"/>
                <w:kern w:val="0"/>
                <w:sz w:val="36"/>
                <w:szCs w:val="36"/>
                <w:lang w:bidi="ar"/>
              </w:rPr>
              <w:t>部门整体支出绩效目标申报表</w:t>
            </w:r>
          </w:p>
          <w:p>
            <w:pPr>
              <w:widowControl/>
              <w:ind w:left="141" w:leftChars="-67" w:hanging="282" w:hangingChars="141"/>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4128"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填报日期：2023年1</w:t>
            </w:r>
            <w:r>
              <w:rPr>
                <w:rFonts w:ascii="Arial" w:hAnsi="Arial" w:cs="Arial"/>
                <w:color w:val="000000"/>
                <w:kern w:val="0"/>
                <w:sz w:val="20"/>
                <w:lang w:bidi="ar"/>
              </w:rPr>
              <w:t xml:space="preserve"> </w:t>
            </w:r>
            <w:r>
              <w:rPr>
                <w:rFonts w:hint="eastAsia" w:ascii="宋体" w:hAnsi="宋体" w:cs="宋体"/>
                <w:color w:val="000000"/>
                <w:kern w:val="0"/>
                <w:sz w:val="20"/>
                <w:lang w:bidi="ar"/>
              </w:rPr>
              <w:t>月</w:t>
            </w:r>
            <w:r>
              <w:rPr>
                <w:rFonts w:hint="eastAsia" w:ascii="Arial" w:hAnsi="Arial" w:cs="Arial"/>
                <w:color w:val="000000"/>
                <w:kern w:val="0"/>
                <w:sz w:val="20"/>
                <w:lang w:bidi="ar"/>
              </w:rPr>
              <w:t>10</w:t>
            </w:r>
            <w:r>
              <w:rPr>
                <w:rFonts w:hint="eastAsia" w:ascii="宋体" w:hAnsi="宋体" w:cs="宋体"/>
                <w:color w:val="000000"/>
                <w:kern w:val="0"/>
                <w:sz w:val="20"/>
                <w:lang w:bidi="ar"/>
              </w:rPr>
              <w:t>日</w:t>
            </w:r>
          </w:p>
        </w:tc>
        <w:tc>
          <w:tcPr>
            <w:tcW w:w="1276" w:type="dxa"/>
            <w:gridSpan w:val="4"/>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1134" w:type="dxa"/>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2410"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单位：万元</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部门(单位) 名称</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Cs w:val="21"/>
                <w:lang w:bidi="ar"/>
              </w:rPr>
              <w:t>武汉市黄陂区长轩岭街道党员群众服务中心</w:t>
            </w:r>
          </w:p>
        </w:tc>
      </w:tr>
      <w:tr>
        <w:tblPrEx>
          <w:tblCellMar>
            <w:top w:w="0" w:type="dxa"/>
            <w:left w:w="0" w:type="dxa"/>
            <w:bottom w:w="0" w:type="dxa"/>
            <w:right w:w="0" w:type="dxa"/>
          </w:tblCellMar>
        </w:tblPrEx>
        <w:trPr>
          <w:trHeight w:val="285"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填报人</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Times New Roman"/>
                <w:sz w:val="18"/>
              </w:rPr>
              <w:t>卢美华</w:t>
            </w:r>
          </w:p>
        </w:tc>
        <w:tc>
          <w:tcPr>
            <w:tcW w:w="129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联系电话</w:t>
            </w:r>
          </w:p>
        </w:tc>
        <w:tc>
          <w:tcPr>
            <w:tcW w:w="4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Times New Roman"/>
                <w:sz w:val="18"/>
              </w:rPr>
              <w:t>1</w:t>
            </w:r>
            <w:r>
              <w:rPr>
                <w:rFonts w:ascii="Times New Roman"/>
                <w:sz w:val="18"/>
              </w:rPr>
              <w:t>3098841486</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部门总体资金情况</w:t>
            </w:r>
          </w:p>
        </w:tc>
        <w:tc>
          <w:tcPr>
            <w:tcW w:w="300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总体资金情况</w:t>
            </w:r>
          </w:p>
        </w:tc>
        <w:tc>
          <w:tcPr>
            <w:tcW w:w="127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当年金额</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占比</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近两年收支金额</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300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lang w:bidi="ar"/>
              </w:rPr>
              <w:t>202</w:t>
            </w:r>
            <w:r>
              <w:rPr>
                <w:rFonts w:ascii="宋体" w:hAnsi="宋体" w:cs="宋体"/>
                <w:color w:val="000000"/>
                <w:kern w:val="0"/>
                <w:sz w:val="20"/>
                <w:lang w:bidi="ar"/>
              </w:rPr>
              <w:t>2</w:t>
            </w:r>
            <w:r>
              <w:rPr>
                <w:rFonts w:hint="eastAsia" w:ascii="宋体" w:hAnsi="宋体" w:cs="宋体"/>
                <w:color w:val="000000"/>
                <w:kern w:val="0"/>
                <w:sz w:val="20"/>
                <w:lang w:bidi="ar"/>
              </w:rPr>
              <w:t>年</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202</w:t>
            </w:r>
            <w:r>
              <w:rPr>
                <w:rFonts w:ascii="宋体" w:hAnsi="宋体" w:cs="宋体"/>
                <w:color w:val="000000"/>
                <w:kern w:val="0"/>
                <w:sz w:val="20"/>
                <w:lang w:bidi="ar"/>
              </w:rPr>
              <w:t>1</w:t>
            </w:r>
            <w:r>
              <w:rPr>
                <w:rFonts w:hint="eastAsia" w:ascii="宋体" w:hAnsi="宋体" w:cs="宋体"/>
                <w:color w:val="000000"/>
                <w:kern w:val="0"/>
                <w:sz w:val="20"/>
                <w:lang w:bidi="ar"/>
              </w:rPr>
              <w:t>年</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收入构成</w:t>
            </w: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财政拨款</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582.15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513.76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财政专户管理资金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582.15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513.76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支出构成</w:t>
            </w: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人员类项目支出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sz w:val="20"/>
              </w:rPr>
              <w:t>542.13</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sz w:val="20"/>
              </w:rPr>
              <w:t>93.13%</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运转类项目支出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15.02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6.87</w:t>
            </w:r>
            <w:r>
              <w:rPr>
                <w:rFonts w:hint="eastAsia" w:ascii="宋体" w:hAnsi="宋体" w:cs="宋体"/>
                <w:color w:val="000000"/>
                <w:kern w:val="0"/>
                <w:sz w:val="20"/>
                <w:lang w:bidi="ar"/>
              </w:rPr>
              <w:t>%</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特定目标类项目支出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582.15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513.76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705" w:hRule="atLeast"/>
        </w:trPr>
        <w:tc>
          <w:tcPr>
            <w:tcW w:w="11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部门职能概述</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1.负责党员群众服务项目的整体设置、安排和调度，为党员和群众提供综合性服务支撑平台；</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2.负责联系、服务辖区党员，做好流动党员接收、管理工作；</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3. 协助街道党工委做好非公有制经济组织和社会组织的组织覆盖和党建工作，并提供有关工作指导；</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4.协助街道党工委开展社会性、公益性、群众性活动</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5.负责党群服务各类活动场所的功能规划、管理和维护</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6.负责综合便民审批服务工作</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7.承担退役军人就业创业扶持、优抚帮扶、走访慰问、信访接待、权益保障等事务性工作</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8.负责新时代文明实践所整体设置、切实加强志愿者自身业务能力建设、文明实践活动方案制定，文明实践各类活动、会 议记录、文件资料的整理和保管</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年度工作任务</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hAnsi="宋体" w:cs="宋体"/>
                <w:color w:val="000000"/>
                <w:sz w:val="20"/>
              </w:rPr>
            </w:pPr>
            <w:r>
              <w:t xml:space="preserve">1.疫情防控工作； </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hAnsi="宋体" w:cs="宋体"/>
                <w:color w:val="000000"/>
                <w:sz w:val="20"/>
              </w:rPr>
            </w:pPr>
            <w:r>
              <w:t xml:space="preserve">2.城乡管理工作 </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hAnsi="宋体" w:cs="宋体"/>
                <w:color w:val="000000"/>
                <w:sz w:val="20"/>
              </w:rPr>
            </w:pPr>
            <w:r>
              <w:t>3.环境整治工作；</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hAnsi="宋体" w:cs="宋体"/>
                <w:color w:val="000000"/>
                <w:sz w:val="20"/>
              </w:rPr>
            </w:pPr>
            <w:r>
              <w:t xml:space="preserve">4.垃圾分类工作； </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hAnsi="宋体" w:cs="宋体"/>
                <w:color w:val="000000"/>
                <w:sz w:val="20"/>
              </w:rPr>
            </w:pPr>
            <w:r>
              <w:t>5.爱国卫生工作。</w:t>
            </w:r>
          </w:p>
        </w:tc>
      </w:tr>
      <w:tr>
        <w:tblPrEx>
          <w:tblCellMar>
            <w:top w:w="0" w:type="dxa"/>
            <w:left w:w="0" w:type="dxa"/>
            <w:bottom w:w="0" w:type="dxa"/>
            <w:right w:w="0" w:type="dxa"/>
          </w:tblCellMar>
        </w:tblPrEx>
        <w:trPr>
          <w:trHeight w:val="312"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项目支出情况</w:t>
            </w:r>
          </w:p>
        </w:tc>
        <w:tc>
          <w:tcPr>
            <w:tcW w:w="213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项目名称</w:t>
            </w:r>
          </w:p>
        </w:tc>
        <w:tc>
          <w:tcPr>
            <w:tcW w:w="2143"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支出项目类别</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项目总预算</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项目本年度预算</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项目主要支出方向和用途</w:t>
            </w:r>
          </w:p>
        </w:tc>
      </w:tr>
      <w:tr>
        <w:tblPrEx>
          <w:tblCellMar>
            <w:top w:w="0" w:type="dxa"/>
            <w:left w:w="0" w:type="dxa"/>
            <w:bottom w:w="0" w:type="dxa"/>
            <w:right w:w="0" w:type="dxa"/>
          </w:tblCellMar>
        </w:tblPrEx>
        <w:trPr>
          <w:trHeight w:val="312"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3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4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192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党员群众服务中心工作经费</w:t>
            </w:r>
          </w:p>
        </w:tc>
        <w:tc>
          <w:tcPr>
            <w:tcW w:w="214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商品和服务支出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15.02</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15.02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办公费、水电费、物业费、 维修费、公车运行经费、 工会经费</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整体绩效总目标</w:t>
            </w:r>
          </w:p>
        </w:tc>
        <w:tc>
          <w:tcPr>
            <w:tcW w:w="3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长期目标(截止</w:t>
            </w:r>
            <w:r>
              <w:rPr>
                <w:rFonts w:ascii="Arial" w:hAnsi="Arial" w:cs="Arial"/>
                <w:color w:val="000000"/>
                <w:kern w:val="0"/>
                <w:sz w:val="20"/>
                <w:lang w:bidi="ar"/>
              </w:rPr>
              <w:t xml:space="preserve"> </w:t>
            </w:r>
            <w:r>
              <w:rPr>
                <w:rFonts w:hint="eastAsia" w:ascii="宋体" w:hAnsi="宋体" w:cs="宋体"/>
                <w:color w:val="000000"/>
                <w:kern w:val="0"/>
                <w:sz w:val="20"/>
                <w:lang w:bidi="ar"/>
              </w:rPr>
              <w:t>年)</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年度目标</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3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目标 1：完成年度财政管理工</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标 1：完成年度财政管理工作</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长期目标 ：</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完成年度财政管理工作</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党群中心工作经费</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一级</w:t>
            </w:r>
          </w:p>
        </w:tc>
        <w:tc>
          <w:tcPr>
            <w:tcW w:w="11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二级指标</w:t>
            </w:r>
          </w:p>
        </w:tc>
        <w:tc>
          <w:tcPr>
            <w:tcW w:w="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三级指标</w:t>
            </w:r>
          </w:p>
        </w:tc>
        <w:tc>
          <w:tcPr>
            <w:tcW w:w="2410"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24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w:t>
            </w: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41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产出指标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ascii="Arial" w:hAnsi="Arial" w:cs="Arial"/>
                <w:color w:val="000000"/>
                <w:kern w:val="0"/>
                <w:sz w:val="20"/>
                <w:lang w:bidi="ar"/>
              </w:rPr>
              <w:t xml:space="preserve"> </w:t>
            </w:r>
            <w:r>
              <w:rPr>
                <w:rFonts w:hint="eastAsia"/>
                <w:spacing w:val="-1"/>
                <w:w w:val="95"/>
              </w:rPr>
              <w:t>数量</w:t>
            </w:r>
            <w:r>
              <w:rPr>
                <w:spacing w:val="-1"/>
                <w:w w:val="95"/>
              </w:rPr>
              <w:t>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预算执行数据的及时性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r>
              <w:rPr>
                <w:rFonts w:ascii="宋体" w:hAnsi="宋体" w:cs="宋体"/>
                <w:color w:val="000000"/>
                <w:kern w:val="0"/>
                <w:sz w:val="20"/>
                <w:lang w:bidi="ar"/>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lang w:bidi="ar"/>
              </w:rPr>
            </w:pPr>
            <w:r>
              <w:t>1、组织财政收入均衡入库；2、街道绩 效目标编制覆盖面；3、保障教育、社 会保障、文化、医疗卫生、农林水等民 生资金保障力度，预算资金保障率达到 100%。</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质量指标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项目可控性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1、预决算信息公开；2、“三农”惠民 资金发放准确率。</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rPr>
            </w:pPr>
            <w:r>
              <w:rPr>
                <w:rFonts w:hint="eastAsia"/>
                <w:spacing w:val="-1"/>
                <w:w w:val="95"/>
              </w:rPr>
              <w:t>时效指标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rPr>
                <w:rFonts w:hint="eastAsia"/>
              </w:rPr>
              <w:t>到位及时性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按时完成年度</w:t>
            </w:r>
            <w:r>
              <w:rPr>
                <w:rFonts w:hint="eastAsia"/>
              </w:rPr>
              <w:t>绩效管理</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效果指标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经济效益</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pacing w:val="-1"/>
                <w:w w:val="95"/>
              </w:rPr>
              <w:t>经济效益</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顺利</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满意度指标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群众满意度</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9</w:t>
            </w:r>
            <w:r>
              <w:rPr>
                <w:sz w:val="20"/>
              </w:rPr>
              <w:t>9%</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z w:val="20"/>
              </w:rPr>
              <w:t>服务对象满意度</w:t>
            </w:r>
          </w:p>
        </w:tc>
      </w:tr>
      <w:tr>
        <w:tblPrEx>
          <w:tblCellMar>
            <w:top w:w="0" w:type="dxa"/>
            <w:left w:w="0" w:type="dxa"/>
            <w:bottom w:w="0" w:type="dxa"/>
            <w:right w:w="0"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年度目标 1：</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r>
              <w:t>完成年度财政管理工作</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rPr>
              <w:t>党群中心</w:t>
            </w:r>
            <w:r>
              <w:t>工作经费</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一级</w:t>
            </w:r>
          </w:p>
        </w:tc>
        <w:tc>
          <w:tcPr>
            <w:tcW w:w="11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二级指标</w:t>
            </w:r>
          </w:p>
        </w:tc>
        <w:tc>
          <w:tcPr>
            <w:tcW w:w="953" w:type="dxa"/>
            <w:gridSpan w:val="2"/>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三级指标</w:t>
            </w:r>
          </w:p>
        </w:tc>
        <w:tc>
          <w:tcPr>
            <w:tcW w:w="2324" w:type="dxa"/>
            <w:gridSpan w:val="4"/>
            <w:vMerge w:val="restart"/>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指标值</w:t>
            </w:r>
          </w:p>
        </w:tc>
        <w:tc>
          <w:tcPr>
            <w:tcW w:w="241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w:t>
            </w: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53" w:type="dxa"/>
            <w:gridSpan w:val="2"/>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0"/>
              </w:rPr>
            </w:pPr>
          </w:p>
        </w:tc>
        <w:tc>
          <w:tcPr>
            <w:tcW w:w="2324" w:type="dxa"/>
            <w:gridSpan w:val="4"/>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rPr>
            </w:pPr>
          </w:p>
        </w:tc>
        <w:tc>
          <w:tcPr>
            <w:tcW w:w="241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产出指标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数量</w:t>
            </w:r>
            <w:r>
              <w:rPr>
                <w:spacing w:val="-1"/>
                <w:w w:val="95"/>
              </w:rPr>
              <w:t>指标</w:t>
            </w:r>
          </w:p>
        </w:tc>
        <w:tc>
          <w:tcPr>
            <w:tcW w:w="953"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预算执行数据的及时性</w:t>
            </w:r>
          </w:p>
        </w:tc>
        <w:tc>
          <w:tcPr>
            <w:tcW w:w="2324" w:type="dxa"/>
            <w:gridSpan w:val="4"/>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1</w:t>
            </w:r>
            <w:r>
              <w:rPr>
                <w:rFonts w:ascii="宋体" w:hAnsi="宋体" w:cs="宋体"/>
                <w:color w:val="000000"/>
                <w:kern w:val="0"/>
                <w:sz w:val="20"/>
                <w:lang w:bidi="ar"/>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1、组织财政收入均衡入 库；2、街道绩效目标编 制覆盖面；3、保障教育、 社会保障、文化、医疗卫 生、农林水等民生资金保 障力度，预算资金保障率 达到 100%。</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质量指标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项目可控性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1、预决算信息公开；2、“三农”惠民 资金发放准确率。</w:t>
            </w:r>
          </w:p>
        </w:tc>
      </w:tr>
      <w:tr>
        <w:tblPrEx>
          <w:tblCellMar>
            <w:top w:w="0" w:type="dxa"/>
            <w:left w:w="0" w:type="dxa"/>
            <w:bottom w:w="0" w:type="dxa"/>
            <w:right w:w="0" w:type="dxa"/>
          </w:tblCellMar>
        </w:tblPrEx>
        <w:trPr>
          <w:trHeight w:val="368"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时效指标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rPr>
              <w:t>到位及时性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按时完成年度</w:t>
            </w:r>
            <w:r>
              <w:rPr>
                <w:rFonts w:hint="eastAsia"/>
              </w:rPr>
              <w:t>绩效管理</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效果指标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经济效益</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经济效益</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社会效益</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顺利</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1181"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满意度指标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群众满意度</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i/>
                <w:iCs/>
                <w:color w:val="000000"/>
                <w:sz w:val="20"/>
              </w:rPr>
            </w:pPr>
            <w:r>
              <w:rPr>
                <w:rFonts w:hint="eastAsia" w:cs="宋体"/>
                <w:color w:val="000000"/>
                <w:kern w:val="0"/>
                <w:sz w:val="20"/>
                <w:lang w:bidi="ar"/>
              </w:rPr>
              <w:t>9</w:t>
            </w:r>
            <w:r>
              <w:rPr>
                <w:rFonts w:cs="宋体"/>
                <w:color w:val="000000"/>
                <w:kern w:val="0"/>
                <w:sz w:val="20"/>
                <w:lang w:bidi="ar"/>
              </w:rPr>
              <w:t>9%</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z w:val="20"/>
              </w:rPr>
              <w:t>服务对象满意度</w:t>
            </w:r>
          </w:p>
        </w:tc>
      </w:tr>
    </w:tbl>
    <w:p>
      <w:pPr>
        <w:spacing w:line="500" w:lineRule="exact"/>
        <w:ind w:firstLine="640" w:firstLineChars="200"/>
        <w:jc w:val="left"/>
        <w:rPr>
          <w:rFonts w:ascii="黑体" w:hAnsi="黑体" w:eastAsia="黑体"/>
          <w:sz w:val="32"/>
          <w:szCs w:val="32"/>
        </w:rPr>
      </w:pPr>
    </w:p>
    <w:p>
      <w:pPr>
        <w:widowControl/>
        <w:ind w:firstLine="600" w:firstLineChars="300"/>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备注：</w:t>
      </w:r>
      <w:r>
        <w:rPr>
          <w:color w:val="000000"/>
          <w:kern w:val="0"/>
          <w:sz w:val="20"/>
          <w:lang w:bidi="ar"/>
        </w:rPr>
        <w:t>1.“</w:t>
      </w:r>
      <w:r>
        <w:rPr>
          <w:rFonts w:hint="eastAsia" w:ascii="宋体" w:hAnsi="宋体" w:cs="宋体"/>
          <w:color w:val="000000"/>
          <w:kern w:val="0"/>
          <w:sz w:val="20"/>
          <w:lang w:bidi="ar"/>
        </w:rPr>
        <w:t>整体绩效目标</w:t>
      </w:r>
      <w:r>
        <w:rPr>
          <w:color w:val="000000"/>
          <w:kern w:val="0"/>
          <w:sz w:val="20"/>
          <w:lang w:bidi="ar"/>
        </w:rPr>
        <w:t>”</w:t>
      </w:r>
      <w:r>
        <w:rPr>
          <w:rFonts w:hint="eastAsia" w:ascii="宋体" w:hAnsi="宋体" w:cs="宋体"/>
          <w:color w:val="000000"/>
          <w:kern w:val="0"/>
          <w:sz w:val="20"/>
          <w:lang w:bidi="ar"/>
        </w:rPr>
        <w:t>：请结合部门职能、工作规划、项目支出投向等编报。</w:t>
      </w:r>
    </w:p>
    <w:p>
      <w:pPr>
        <w:widowControl/>
        <w:ind w:left="1418" w:leftChars="580" w:hanging="200" w:hangingChars="100"/>
        <w:jc w:val="left"/>
        <w:textAlignment w:val="center"/>
        <w:rPr>
          <w:rFonts w:ascii="宋体" w:hAnsi="宋体" w:cs="宋体"/>
          <w:color w:val="000000"/>
          <w:kern w:val="0"/>
          <w:sz w:val="20"/>
          <w:lang w:bidi="ar"/>
        </w:rPr>
      </w:pPr>
      <w:r>
        <w:rPr>
          <w:color w:val="000000"/>
          <w:kern w:val="0"/>
          <w:sz w:val="20"/>
          <w:lang w:bidi="ar"/>
        </w:rPr>
        <w:t>2.“</w:t>
      </w:r>
      <w:r>
        <w:rPr>
          <w:rFonts w:hint="eastAsia" w:ascii="宋体" w:hAnsi="宋体" w:cs="宋体"/>
          <w:color w:val="000000"/>
          <w:kern w:val="0"/>
          <w:sz w:val="20"/>
          <w:lang w:bidi="ar"/>
        </w:rPr>
        <w:t>二级指标</w:t>
      </w:r>
      <w:r>
        <w:rPr>
          <w:color w:val="000000"/>
          <w:kern w:val="0"/>
          <w:sz w:val="20"/>
          <w:lang w:bidi="ar"/>
        </w:rPr>
        <w:t>”</w:t>
      </w:r>
      <w:r>
        <w:rPr>
          <w:rFonts w:hint="eastAsia" w:ascii="宋体" w:hAnsi="宋体" w:cs="宋体"/>
          <w:color w:val="000000"/>
          <w:kern w:val="0"/>
          <w:sz w:val="20"/>
          <w:lang w:bidi="ar"/>
        </w:rPr>
        <w:t>中</w:t>
      </w:r>
      <w:r>
        <w:rPr>
          <w:color w:val="000000"/>
          <w:kern w:val="0"/>
          <w:sz w:val="20"/>
          <w:lang w:bidi="ar"/>
        </w:rPr>
        <w:t>“</w:t>
      </w:r>
      <w:r>
        <w:rPr>
          <w:rFonts w:hint="eastAsia" w:ascii="宋体" w:hAnsi="宋体" w:cs="宋体"/>
          <w:color w:val="000000"/>
          <w:kern w:val="0"/>
          <w:sz w:val="20"/>
          <w:lang w:bidi="ar"/>
        </w:rPr>
        <w:t>产出指标</w:t>
      </w:r>
      <w:r>
        <w:rPr>
          <w:color w:val="000000"/>
          <w:kern w:val="0"/>
          <w:sz w:val="20"/>
          <w:lang w:bidi="ar"/>
        </w:rPr>
        <w:t>”</w:t>
      </w:r>
      <w:r>
        <w:rPr>
          <w:rFonts w:hint="eastAsia" w:ascii="宋体" w:hAnsi="宋体" w:cs="宋体"/>
          <w:color w:val="000000"/>
          <w:kern w:val="0"/>
          <w:sz w:val="20"/>
          <w:lang w:bidi="ar"/>
        </w:rPr>
        <w:t>请选择填报数量、质量、时效、成本等指标；</w:t>
      </w:r>
      <w:r>
        <w:rPr>
          <w:color w:val="000000"/>
          <w:kern w:val="0"/>
          <w:sz w:val="20"/>
          <w:lang w:bidi="ar"/>
        </w:rPr>
        <w:t>“</w:t>
      </w:r>
      <w:r>
        <w:rPr>
          <w:rFonts w:hint="eastAsia" w:ascii="宋体" w:hAnsi="宋体" w:cs="宋体"/>
          <w:color w:val="000000"/>
          <w:kern w:val="0"/>
          <w:sz w:val="20"/>
          <w:lang w:bidi="ar"/>
        </w:rPr>
        <w:t>效益指标</w:t>
      </w:r>
      <w:r>
        <w:rPr>
          <w:color w:val="000000"/>
          <w:kern w:val="0"/>
          <w:sz w:val="20"/>
          <w:lang w:bidi="ar"/>
        </w:rPr>
        <w:t>”</w:t>
      </w:r>
      <w:r>
        <w:rPr>
          <w:rFonts w:hint="eastAsia" w:ascii="宋体" w:hAnsi="宋体" w:cs="宋体"/>
          <w:color w:val="000000"/>
          <w:kern w:val="0"/>
          <w:sz w:val="20"/>
          <w:lang w:bidi="ar"/>
        </w:rPr>
        <w:t>请选择填报社会效益、经济效益、生态效益、可持续发展影响；</w:t>
      </w:r>
      <w:r>
        <w:rPr>
          <w:color w:val="000000"/>
          <w:kern w:val="0"/>
          <w:sz w:val="20"/>
          <w:lang w:bidi="ar"/>
        </w:rPr>
        <w:t>“</w:t>
      </w:r>
      <w:r>
        <w:rPr>
          <w:rFonts w:hint="eastAsia" w:ascii="宋体" w:hAnsi="宋体" w:cs="宋体"/>
          <w:color w:val="000000"/>
          <w:kern w:val="0"/>
          <w:sz w:val="20"/>
          <w:lang w:bidi="ar"/>
        </w:rPr>
        <w:t>满意度指标</w:t>
      </w:r>
      <w:r>
        <w:rPr>
          <w:color w:val="000000"/>
          <w:kern w:val="0"/>
          <w:sz w:val="20"/>
          <w:lang w:bidi="ar"/>
        </w:rPr>
        <w:t>”</w:t>
      </w:r>
      <w:r>
        <w:rPr>
          <w:rFonts w:hint="eastAsia" w:ascii="宋体" w:hAnsi="宋体" w:cs="宋体"/>
          <w:color w:val="000000"/>
          <w:kern w:val="0"/>
          <w:sz w:val="20"/>
          <w:lang w:bidi="ar"/>
        </w:rPr>
        <w:t>请选择填报社会公众或服务对象满意度等指标。</w:t>
      </w:r>
    </w:p>
    <w:p>
      <w:pPr>
        <w:widowControl/>
        <w:ind w:firstLine="1200" w:firstLineChars="600"/>
        <w:jc w:val="left"/>
        <w:textAlignment w:val="center"/>
        <w:rPr>
          <w:rFonts w:ascii="宋体" w:hAnsi="宋体" w:cs="宋体"/>
          <w:color w:val="000000"/>
          <w:kern w:val="0"/>
          <w:sz w:val="20"/>
          <w:lang w:bidi="ar"/>
        </w:rPr>
      </w:pPr>
      <w:r>
        <w:rPr>
          <w:rFonts w:ascii="宋体" w:hAnsi="宋体" w:cs="宋体"/>
          <w:color w:val="000000"/>
          <w:kern w:val="0"/>
          <w:sz w:val="20"/>
          <w:lang w:bidi="ar"/>
        </w:rPr>
        <w:t>3.</w:t>
      </w:r>
      <w:r>
        <w:rPr>
          <w:color w:val="000000"/>
          <w:kern w:val="0"/>
          <w:sz w:val="20"/>
          <w:lang w:bidi="ar"/>
        </w:rPr>
        <w:t>“</w:t>
      </w:r>
      <w:r>
        <w:rPr>
          <w:rFonts w:hint="eastAsia" w:ascii="宋体" w:hAnsi="宋体" w:cs="宋体"/>
          <w:color w:val="000000"/>
          <w:kern w:val="0"/>
          <w:sz w:val="20"/>
          <w:lang w:bidi="ar"/>
        </w:rPr>
        <w:t>绩效标准</w:t>
      </w:r>
      <w:r>
        <w:rPr>
          <w:color w:val="000000"/>
          <w:kern w:val="0"/>
          <w:sz w:val="20"/>
          <w:lang w:bidi="ar"/>
        </w:rPr>
        <w:t>”</w:t>
      </w:r>
      <w:r>
        <w:rPr>
          <w:rFonts w:hint="eastAsia" w:ascii="宋体" w:hAnsi="宋体" w:cs="宋体"/>
          <w:color w:val="000000"/>
          <w:kern w:val="0"/>
          <w:sz w:val="20"/>
          <w:lang w:bidi="ar"/>
        </w:rPr>
        <w:t>：设定绩效指标值时的依据或参考标准</w:t>
      </w: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spacing w:line="500" w:lineRule="exact"/>
        <w:jc w:val="left"/>
        <w:rPr>
          <w:rFonts w:ascii="黑体" w:hAnsi="黑体" w:eastAsia="黑体"/>
          <w:sz w:val="32"/>
          <w:szCs w:val="32"/>
        </w:rPr>
      </w:pPr>
    </w:p>
    <w:p>
      <w:pPr>
        <w:autoSpaceDE w:val="0"/>
        <w:autoSpaceDN w:val="0"/>
        <w:jc w:val="center"/>
        <w:rPr>
          <w:rFonts w:ascii="黑体" w:hAnsi="黑体" w:eastAsia="黑体" w:cs="黑体"/>
          <w:sz w:val="36"/>
        </w:rPr>
      </w:pPr>
      <w:r>
        <w:rPr>
          <w:rFonts w:hint="eastAsia" w:ascii="黑体" w:hAnsi="黑体" w:eastAsia="黑体" w:cs="黑体"/>
          <w:sz w:val="36"/>
          <w:lang w:eastAsia="zh-CN"/>
        </w:rPr>
        <w:t>十一、</w:t>
      </w: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sz w:val="18"/>
              </w:rPr>
            </w:pPr>
            <w:r>
              <w:rPr>
                <w:rFonts w:hint="eastAsia" w:ascii="Calibri" w:hAnsi="Calibri" w:cs="Arial"/>
                <w:color w:val="000000"/>
                <w:kern w:val="0"/>
                <w:sz w:val="18"/>
                <w:szCs w:val="18"/>
              </w:rPr>
              <w:t>武汉市黄陂区长轩岭街道党员群众服务中心事业运行经费</w:t>
            </w: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cs="Arial"/>
                <w:color w:val="000000"/>
                <w:sz w:val="22"/>
                <w:szCs w:val="22"/>
              </w:rPr>
              <w:t>42011622122T000000120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Cs w:val="21"/>
              </w:rPr>
            </w:pPr>
            <w:r>
              <w:rPr>
                <w:rFonts w:hint="eastAsia" w:ascii="Calibri" w:hAnsi="Calibri" w:cs="Arial"/>
                <w:color w:val="000000"/>
                <w:szCs w:val="21"/>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color w:val="000000"/>
                <w:kern w:val="0"/>
                <w:sz w:val="22"/>
              </w:rPr>
            </w:pPr>
            <w:r>
              <w:rPr>
                <w:rFonts w:hint="eastAsia" w:ascii="Calibri" w:hAnsi="Calibri" w:cs="Arial"/>
                <w:color w:val="000000"/>
                <w:sz w:val="22"/>
              </w:rPr>
              <w:t>武汉市</w:t>
            </w:r>
            <w:r>
              <w:rPr>
                <w:rFonts w:hint="eastAsia"/>
                <w:color w:val="000000"/>
                <w:sz w:val="22"/>
              </w:rPr>
              <w:t>黄陂区长轩岭街道党员群众服务中心</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4"/>
                <w:sz w:val="16"/>
                <w:szCs w:val="16"/>
                <w:lang w:bidi="ar"/>
              </w:rPr>
              <w:t>2</w:t>
            </w:r>
            <w:r>
              <w:rPr>
                <w:kern w:val="0"/>
              </w:rPr>
              <w:t>.</w:t>
            </w:r>
            <w:r>
              <w:rPr>
                <w:rFonts w:hint="eastAsia"/>
                <w:color w:val="000000"/>
                <w:kern w:val="0"/>
                <w:sz w:val="16"/>
                <w:szCs w:val="16"/>
                <w:lang w:bidi="ar"/>
              </w:rPr>
              <w:t>省人力资源和社会保障厅</w:t>
            </w:r>
            <w:r>
              <w:rPr>
                <w:rStyle w:val="15"/>
                <w:rFonts w:hint="eastAsia" w:ascii="等线" w:hAnsi="等线" w:eastAsia="等线"/>
              </w:rPr>
              <w:t>，</w:t>
            </w:r>
            <w:r>
              <w:rPr>
                <w:rFonts w:hint="eastAsia"/>
                <w:color w:val="000000"/>
                <w:kern w:val="0"/>
                <w:sz w:val="16"/>
                <w:szCs w:val="16"/>
                <w:lang w:bidi="ar"/>
              </w:rPr>
              <w:t>省机构编制委员会办公室；</w:t>
            </w:r>
            <w:r>
              <w:rPr>
                <w:rStyle w:val="14"/>
                <w:sz w:val="16"/>
                <w:szCs w:val="16"/>
                <w:lang w:bidi="ar"/>
              </w:rPr>
              <w:t>3.</w:t>
            </w:r>
            <w:r>
              <w:rPr>
                <w:rFonts w:hint="eastAsia"/>
                <w:color w:val="000000"/>
                <w:kern w:val="0"/>
                <w:sz w:val="16"/>
                <w:szCs w:val="16"/>
                <w:lang w:bidi="ar"/>
              </w:rPr>
              <w:t>中心工作职责；</w:t>
            </w:r>
            <w:r>
              <w:rPr>
                <w:rStyle w:val="14"/>
                <w:sz w:val="16"/>
                <w:szCs w:val="16"/>
                <w:lang w:bidi="ar"/>
              </w:rPr>
              <w:t>4.</w:t>
            </w:r>
            <w:r>
              <w:rPr>
                <w:rFonts w:hint="eastAsia"/>
                <w:color w:val="000000"/>
                <w:kern w:val="0"/>
                <w:sz w:val="16"/>
                <w:szCs w:val="16"/>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坚持依法科学工作；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25.00</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hint="eastAsia" w:ascii="Times New Roman"/>
                <w:sz w:val="18"/>
              </w:rPr>
              <w:t>无以前年度预算，根据国家预算管理要求新增。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党员群众服务中心工作经费</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25.00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党员群众服务中心工作经费</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bookmarkStart w:id="1" w:name="_Hlk127778132"/>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党员群众服务中心工作经费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党员群众服务中心工作经费</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服务对象满意度</w:t>
            </w:r>
          </w:p>
        </w:tc>
      </w:tr>
    </w:tbl>
    <w:p>
      <w:pPr>
        <w:rPr>
          <w:sz w:val="16"/>
        </w:rPr>
        <w:sectPr>
          <w:type w:val="continuous"/>
          <w:pgSz w:w="11910" w:h="16840"/>
          <w:pgMar w:top="1580" w:right="680" w:bottom="1680" w:left="680" w:header="0" w:footer="1493" w:gutter="0"/>
          <w:cols w:space="720" w:num="1"/>
        </w:sectPr>
      </w:pPr>
    </w:p>
    <w:bookmarkEnd w:id="1"/>
    <w:tbl>
      <w:tblPr>
        <w:tblStyle w:val="7"/>
        <w:tblW w:w="135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2662"/>
        <w:gridCol w:w="937"/>
        <w:gridCol w:w="729"/>
        <w:gridCol w:w="938"/>
        <w:gridCol w:w="1083"/>
        <w:gridCol w:w="1042"/>
        <w:gridCol w:w="896"/>
        <w:gridCol w:w="666"/>
        <w:gridCol w:w="667"/>
        <w:gridCol w:w="625"/>
        <w:gridCol w:w="792"/>
        <w:gridCol w:w="708"/>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3588" w:type="dxa"/>
            <w:gridSpan w:val="14"/>
            <w:tcBorders>
              <w:top w:val="nil"/>
              <w:left w:val="nil"/>
              <w:bottom w:val="nil"/>
              <w:right w:val="nil"/>
            </w:tcBorders>
            <w:shd w:val="clear" w:color="auto" w:fill="auto"/>
            <w:vAlign w:val="center"/>
          </w:tcPr>
          <w:p>
            <w:pPr>
              <w:keepNext w:val="0"/>
              <w:keepLines w:val="0"/>
              <w:widowControl/>
              <w:suppressLineNumbers w:val="0"/>
              <w:tabs>
                <w:tab w:val="left" w:pos="5751"/>
                <w:tab w:val="center" w:pos="6746"/>
              </w:tabs>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44"/>
                <w:szCs w:val="44"/>
                <w:u w:val="none"/>
                <w:lang w:val="en-US" w:eastAsia="zh-CN" w:bidi="ar"/>
              </w:rPr>
              <w:t>十二、政府采购预算表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66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8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9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7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预算10表</w:t>
            </w:r>
          </w:p>
        </w:tc>
        <w:tc>
          <w:tcPr>
            <w:tcW w:w="266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8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9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单位代码</w:t>
            </w:r>
          </w:p>
        </w:tc>
        <w:tc>
          <w:tcPr>
            <w:tcW w:w="2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单位名称</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政府采购品目</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功能科目</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部门支出经济分类</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资金来源</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资金性质</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采购数量</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采购金额(合计)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其中面向中小企业(元)</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其中面向微小企业(元)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A16122003011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黄陂区长轩岭街道党群服务中心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特定目标类项目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服务类</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一般公共预算财政拨款收入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widowControl/>
        <w:spacing w:before="240" w:beforeLines="100" w:line="360" w:lineRule="auto"/>
        <w:jc w:val="center"/>
        <w:rPr>
          <w:rFonts w:ascii="黑体" w:hAnsi="黑体" w:eastAsia="黑体" w:cs="Times New Roman"/>
          <w:b/>
          <w:bCs/>
          <w:sz w:val="32"/>
          <w:szCs w:val="32"/>
        </w:rPr>
      </w:pPr>
    </w:p>
    <w:p>
      <w:pPr>
        <w:widowControl/>
        <w:spacing w:before="240" w:beforeLines="100" w:line="360" w:lineRule="auto"/>
        <w:jc w:val="both"/>
        <w:rPr>
          <w:rFonts w:ascii="黑体" w:hAnsi="黑体" w:eastAsia="黑体" w:cs="Times New Roman"/>
          <w:b/>
          <w:bCs/>
          <w:sz w:val="32"/>
          <w:szCs w:val="32"/>
        </w:rPr>
      </w:pPr>
    </w:p>
    <w:p>
      <w:pPr>
        <w:widowControl/>
        <w:spacing w:before="240" w:beforeLines="100" w:line="360" w:lineRule="auto"/>
        <w:jc w:val="both"/>
        <w:rPr>
          <w:rFonts w:ascii="黑体" w:hAnsi="黑体" w:eastAsia="黑体" w:cs="Times New Roman"/>
          <w:b/>
          <w:bCs/>
          <w:sz w:val="32"/>
          <w:szCs w:val="32"/>
        </w:rPr>
      </w:pPr>
    </w:p>
    <w:p>
      <w:pPr>
        <w:widowControl/>
        <w:spacing w:before="240" w:beforeLines="100" w:line="360" w:lineRule="auto"/>
        <w:jc w:val="center"/>
        <w:rPr>
          <w:rFonts w:ascii="黑体" w:hAnsi="黑体" w:eastAsia="黑体"/>
          <w:b/>
          <w:bCs/>
          <w:sz w:val="32"/>
          <w:szCs w:val="32"/>
        </w:rPr>
      </w:pPr>
      <w:r>
        <w:rPr>
          <w:rFonts w:ascii="黑体" w:hAnsi="黑体" w:eastAsia="黑体" w:cs="Times New Roman"/>
          <w:b/>
          <w:bCs/>
          <w:sz w:val="32"/>
          <w:szCs w:val="32"/>
        </w:rPr>
        <w:t>第三部分</w:t>
      </w:r>
      <w:r>
        <w:rPr>
          <w:rFonts w:ascii="黑体" w:hAnsi="黑体" w:eastAsia="黑体"/>
          <w:b/>
          <w:bCs/>
          <w:sz w:val="32"/>
          <w:szCs w:val="32"/>
        </w:rPr>
        <w:t xml:space="preserve"> </w:t>
      </w:r>
      <w:r>
        <w:rPr>
          <w:rFonts w:ascii="黑体" w:hAnsi="黑体" w:eastAsia="黑体" w:cs="Times New Roman"/>
          <w:b/>
          <w:bCs/>
          <w:sz w:val="32"/>
          <w:szCs w:val="32"/>
        </w:rPr>
        <w:t>名词解释</w:t>
      </w:r>
    </w:p>
    <w:p>
      <w:pPr>
        <w:widowControl/>
        <w:spacing w:before="240" w:beforeLines="100" w:line="360" w:lineRule="auto"/>
        <w:jc w:val="center"/>
        <w:rPr>
          <w:rFonts w:hint="eastAsia" w:ascii="仿宋" w:hAnsi="仿宋" w:eastAsia="仿宋" w:cs="仿宋"/>
          <w:b/>
          <w:bCs/>
          <w:sz w:val="32"/>
          <w:szCs w:val="32"/>
        </w:rPr>
      </w:pP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一、财政拨款收入：指财政部门用一般预算收入安排的预算单位资金。</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二、事业收入：指事业单位开展专业业务活动及辅助活动取得的收入。</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三、事业单位经营收入：指事业单位在专业业务活动及辅助活动之外开展非独立核算经营活动取得的收入。</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四、其他收入：指除 “财政拨款收入”、“财政专户资金”、 “事业收入”、“事业单位经营收入”以外的各项收入。包括利息收入、捐赠收入等。</w:t>
      </w:r>
    </w:p>
    <w:p>
      <w:pPr>
        <w:snapToGrid w:val="0"/>
        <w:spacing w:line="360" w:lineRule="auto"/>
        <w:ind w:firstLine="707" w:firstLineChars="221"/>
        <w:rPr>
          <w:rFonts w:hint="eastAsia" w:ascii="仿宋" w:hAnsi="仿宋" w:eastAsia="仿宋" w:cs="仿宋"/>
          <w:sz w:val="32"/>
          <w:szCs w:val="32"/>
        </w:rPr>
      </w:pPr>
      <w:r>
        <w:rPr>
          <w:rFonts w:hint="eastAsia" w:ascii="仿宋" w:hAnsi="仿宋" w:eastAsia="仿宋" w:cs="仿宋"/>
          <w:sz w:val="32"/>
          <w:szCs w:val="32"/>
        </w:rPr>
        <w:t>五、一般公共预算“三公”经费：是指用财政拨款安排的因公出国（境）费、公务用车购置及运行维护费和公务接待费。</w:t>
      </w:r>
    </w:p>
    <w:p>
      <w:pPr>
        <w:snapToGrid w:val="0"/>
        <w:spacing w:line="360" w:lineRule="auto"/>
        <w:ind w:left="-10" w:leftChars="-5" w:firstLine="716" w:firstLineChars="224"/>
        <w:rPr>
          <w:rFonts w:hint="eastAsia" w:ascii="仿宋" w:hAnsi="仿宋" w:eastAsia="仿宋" w:cs="仿宋"/>
          <w:sz w:val="32"/>
          <w:szCs w:val="32"/>
        </w:rPr>
      </w:pPr>
      <w:r>
        <w:rPr>
          <w:rFonts w:hint="eastAsia" w:ascii="仿宋" w:hAnsi="仿宋" w:eastAsia="仿宋" w:cs="仿宋"/>
          <w:sz w:val="32"/>
          <w:szCs w:val="32"/>
        </w:rPr>
        <w:t>1. 因公出国（境）费：反映公务出国（境）的住宿费、旅费、伙食补助费、杂费、培训费等支出。</w:t>
      </w:r>
    </w:p>
    <w:p>
      <w:pPr>
        <w:snapToGrid w:val="0"/>
        <w:spacing w:line="360" w:lineRule="auto"/>
        <w:ind w:firstLine="848" w:firstLineChars="265"/>
        <w:rPr>
          <w:rFonts w:hint="eastAsia" w:ascii="仿宋" w:hAnsi="仿宋" w:eastAsia="仿宋" w:cs="仿宋"/>
          <w:sz w:val="32"/>
          <w:szCs w:val="32"/>
        </w:rPr>
      </w:pPr>
      <w:r>
        <w:rPr>
          <w:rFonts w:hint="eastAsia" w:ascii="仿宋" w:hAnsi="仿宋" w:eastAsia="仿宋" w:cs="仿宋"/>
          <w:sz w:val="32"/>
          <w:szCs w:val="32"/>
        </w:rPr>
        <w:t>2．公务接待费：反映按规定开支的各类公务接待（含外宾接待）支出。</w:t>
      </w:r>
    </w:p>
    <w:p>
      <w:pPr>
        <w:snapToGrid w:val="0"/>
        <w:spacing w:line="360" w:lineRule="auto"/>
        <w:ind w:firstLine="848" w:firstLineChars="265"/>
        <w:rPr>
          <w:rFonts w:hint="eastAsia" w:ascii="仿宋" w:hAnsi="仿宋" w:eastAsia="仿宋" w:cs="仿宋"/>
          <w:sz w:val="32"/>
          <w:szCs w:val="32"/>
        </w:rPr>
      </w:pPr>
      <w:r>
        <w:rPr>
          <w:rFonts w:hint="eastAsia" w:ascii="仿宋" w:hAnsi="仿宋" w:eastAsia="仿宋" w:cs="仿宋"/>
          <w:sz w:val="32"/>
          <w:szCs w:val="32"/>
        </w:rPr>
        <w:t>3. 公务用车购置及运行维护费：反映公务用车购置费及租用费、燃料费、维修费、过路过桥费、保险费等支出。</w:t>
      </w:r>
    </w:p>
    <w:p>
      <w:pPr>
        <w:snapToGrid w:val="0"/>
        <w:spacing w:line="360" w:lineRule="auto"/>
        <w:ind w:firstLine="707" w:firstLineChars="221"/>
        <w:rPr>
          <w:rFonts w:hint="eastAsia" w:ascii="黑体" w:hAnsi="黑体" w:eastAsia="仿宋"/>
          <w:sz w:val="32"/>
          <w:szCs w:val="32"/>
          <w:lang w:eastAsia="zh-CN"/>
        </w:rPr>
        <w:sectPr>
          <w:pgSz w:w="16838" w:h="11906" w:orient="landscape"/>
          <w:pgMar w:top="1797" w:right="1440" w:bottom="1797" w:left="1440" w:header="851" w:footer="992" w:gutter="0"/>
          <w:cols w:space="425" w:num="1"/>
          <w:docGrid w:linePitch="312" w:charSpace="0"/>
        </w:sectPr>
      </w:pPr>
      <w:r>
        <w:rPr>
          <w:rFonts w:hint="eastAsia" w:ascii="仿宋" w:hAnsi="仿宋" w:eastAsia="仿宋" w:cs="仿宋"/>
          <w:sz w:val="32"/>
          <w:szCs w:val="32"/>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物业管理费、委托业务费、公务用车运行维护费以及其他费用</w:t>
      </w:r>
      <w:r>
        <w:rPr>
          <w:rFonts w:hint="eastAsia" w:ascii="仿宋" w:hAnsi="仿宋" w:eastAsia="仿宋" w:cs="仿宋"/>
          <w:sz w:val="32"/>
          <w:szCs w:val="32"/>
          <w:lang w:eastAsia="zh-CN"/>
        </w:rPr>
        <w:t>。</w:t>
      </w:r>
    </w:p>
    <w:p>
      <w:pPr>
        <w:spacing w:line="500" w:lineRule="exact"/>
        <w:jc w:val="left"/>
        <w:rPr>
          <w:rFonts w:ascii="黑体" w:hAnsi="黑体" w:eastAsia="黑体"/>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MGE2ZTNhZmEwNGQyMGI5NzdhYTMzZmNiNjFhODYifQ=="/>
  </w:docVars>
  <w:rsids>
    <w:rsidRoot w:val="00413888"/>
    <w:rsid w:val="0000067E"/>
    <w:rsid w:val="00022880"/>
    <w:rsid w:val="00050420"/>
    <w:rsid w:val="00053A23"/>
    <w:rsid w:val="000C1FAA"/>
    <w:rsid w:val="000C7EF8"/>
    <w:rsid w:val="000E5B5C"/>
    <w:rsid w:val="000E5E2C"/>
    <w:rsid w:val="00127690"/>
    <w:rsid w:val="00160A1E"/>
    <w:rsid w:val="001A232F"/>
    <w:rsid w:val="001A27AC"/>
    <w:rsid w:val="001E49DD"/>
    <w:rsid w:val="001F627C"/>
    <w:rsid w:val="00222881"/>
    <w:rsid w:val="00222DB4"/>
    <w:rsid w:val="00270515"/>
    <w:rsid w:val="00292227"/>
    <w:rsid w:val="002979A5"/>
    <w:rsid w:val="002B649F"/>
    <w:rsid w:val="00315080"/>
    <w:rsid w:val="00315F30"/>
    <w:rsid w:val="0032423C"/>
    <w:rsid w:val="003350CE"/>
    <w:rsid w:val="0035751A"/>
    <w:rsid w:val="00362577"/>
    <w:rsid w:val="00365523"/>
    <w:rsid w:val="00372AED"/>
    <w:rsid w:val="003A2500"/>
    <w:rsid w:val="003A363C"/>
    <w:rsid w:val="003B3F4D"/>
    <w:rsid w:val="003C756E"/>
    <w:rsid w:val="00413888"/>
    <w:rsid w:val="00416549"/>
    <w:rsid w:val="00434EAF"/>
    <w:rsid w:val="00452D6F"/>
    <w:rsid w:val="00455E25"/>
    <w:rsid w:val="004B0207"/>
    <w:rsid w:val="004C3655"/>
    <w:rsid w:val="004E47DE"/>
    <w:rsid w:val="004F0DFA"/>
    <w:rsid w:val="0052199C"/>
    <w:rsid w:val="00522838"/>
    <w:rsid w:val="00523641"/>
    <w:rsid w:val="00586AE7"/>
    <w:rsid w:val="005B79A0"/>
    <w:rsid w:val="006114C1"/>
    <w:rsid w:val="006166E5"/>
    <w:rsid w:val="0064412E"/>
    <w:rsid w:val="00653DE6"/>
    <w:rsid w:val="00672D96"/>
    <w:rsid w:val="00674220"/>
    <w:rsid w:val="006874E6"/>
    <w:rsid w:val="006A12C4"/>
    <w:rsid w:val="006C19E6"/>
    <w:rsid w:val="006C3F93"/>
    <w:rsid w:val="006D48A3"/>
    <w:rsid w:val="00702E1C"/>
    <w:rsid w:val="0070608B"/>
    <w:rsid w:val="00750BB5"/>
    <w:rsid w:val="00754C8F"/>
    <w:rsid w:val="00757C2A"/>
    <w:rsid w:val="007779F1"/>
    <w:rsid w:val="00780E77"/>
    <w:rsid w:val="00787D4F"/>
    <w:rsid w:val="007A7F63"/>
    <w:rsid w:val="007C59A7"/>
    <w:rsid w:val="007D4A70"/>
    <w:rsid w:val="007D5AAF"/>
    <w:rsid w:val="00800B15"/>
    <w:rsid w:val="00804DB6"/>
    <w:rsid w:val="00813A2F"/>
    <w:rsid w:val="008142D5"/>
    <w:rsid w:val="00817193"/>
    <w:rsid w:val="00832DB7"/>
    <w:rsid w:val="00857073"/>
    <w:rsid w:val="00860D0D"/>
    <w:rsid w:val="00883893"/>
    <w:rsid w:val="008A290B"/>
    <w:rsid w:val="008A63AC"/>
    <w:rsid w:val="008C59FF"/>
    <w:rsid w:val="008C6732"/>
    <w:rsid w:val="008D310A"/>
    <w:rsid w:val="008E49EF"/>
    <w:rsid w:val="009235D3"/>
    <w:rsid w:val="00970F41"/>
    <w:rsid w:val="0097788E"/>
    <w:rsid w:val="00985EF4"/>
    <w:rsid w:val="009B756F"/>
    <w:rsid w:val="009D4DDD"/>
    <w:rsid w:val="00A0170E"/>
    <w:rsid w:val="00A346FE"/>
    <w:rsid w:val="00A50984"/>
    <w:rsid w:val="00A732BD"/>
    <w:rsid w:val="00A9186D"/>
    <w:rsid w:val="00AA4967"/>
    <w:rsid w:val="00AB2F07"/>
    <w:rsid w:val="00AE07A3"/>
    <w:rsid w:val="00B05121"/>
    <w:rsid w:val="00B26868"/>
    <w:rsid w:val="00B3113B"/>
    <w:rsid w:val="00B615C2"/>
    <w:rsid w:val="00B77974"/>
    <w:rsid w:val="00BA44C8"/>
    <w:rsid w:val="00BB463B"/>
    <w:rsid w:val="00BB7E56"/>
    <w:rsid w:val="00C00730"/>
    <w:rsid w:val="00C23BC0"/>
    <w:rsid w:val="00C33FF4"/>
    <w:rsid w:val="00C54BBE"/>
    <w:rsid w:val="00C740C4"/>
    <w:rsid w:val="00C81C10"/>
    <w:rsid w:val="00C9297A"/>
    <w:rsid w:val="00C9457A"/>
    <w:rsid w:val="00CB532E"/>
    <w:rsid w:val="00CD00C5"/>
    <w:rsid w:val="00CD72D3"/>
    <w:rsid w:val="00CE29D4"/>
    <w:rsid w:val="00D4023B"/>
    <w:rsid w:val="00DB3E37"/>
    <w:rsid w:val="00DC165A"/>
    <w:rsid w:val="00DC2550"/>
    <w:rsid w:val="00E030C4"/>
    <w:rsid w:val="00E347C2"/>
    <w:rsid w:val="00E37962"/>
    <w:rsid w:val="00E44413"/>
    <w:rsid w:val="00E47EE0"/>
    <w:rsid w:val="00E72AF3"/>
    <w:rsid w:val="00E9134E"/>
    <w:rsid w:val="00EA11B8"/>
    <w:rsid w:val="00EA31E2"/>
    <w:rsid w:val="00EB4D46"/>
    <w:rsid w:val="00EC3659"/>
    <w:rsid w:val="00EC7D9A"/>
    <w:rsid w:val="00EF1687"/>
    <w:rsid w:val="00EF4ACB"/>
    <w:rsid w:val="00EF70F0"/>
    <w:rsid w:val="00F30A2D"/>
    <w:rsid w:val="00F626DB"/>
    <w:rsid w:val="00F75208"/>
    <w:rsid w:val="00FA0A8A"/>
    <w:rsid w:val="00FB5F94"/>
    <w:rsid w:val="00FB7879"/>
    <w:rsid w:val="57CC63A0"/>
    <w:rsid w:val="5FD45AC6"/>
    <w:rsid w:val="684870E2"/>
    <w:rsid w:val="6DA5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2"/>
    <w:uiPriority w:val="0"/>
    <w:rPr>
      <w:rFonts w:ascii="Times New Roman" w:hAnsi="Times New Roman" w:eastAsia="宋体" w:cs="Times New Roman"/>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unhideWhenUsed/>
    <w:uiPriority w:val="39"/>
    <w:pPr>
      <w:ind w:left="0" w:leftChars="0"/>
    </w:pPr>
    <w:rPr>
      <w:rFonts w:cstheme="minorBidi"/>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8"/>
    <w:link w:val="3"/>
    <w:qFormat/>
    <w:uiPriority w:val="0"/>
    <w:rPr>
      <w:rFonts w:ascii="Times New Roman" w:hAnsi="Times New Roman" w:eastAsia="宋体" w:cs="Times New Roman"/>
      <w:sz w:val="32"/>
      <w:szCs w:val="32"/>
    </w:rPr>
  </w:style>
  <w:style w:type="paragraph" w:customStyle="1" w:styleId="13">
    <w:name w:val="Table Paragraph"/>
    <w:basedOn w:val="1"/>
    <w:qFormat/>
    <w:uiPriority w:val="1"/>
    <w:rPr>
      <w:rFonts w:ascii="宋体" w:hAnsi="宋体" w:eastAsia="宋体" w:cs="宋体"/>
      <w:szCs w:val="24"/>
    </w:rPr>
  </w:style>
  <w:style w:type="character" w:customStyle="1" w:styleId="14">
    <w:name w:val="font131"/>
    <w:uiPriority w:val="0"/>
    <w:rPr>
      <w:rFonts w:hint="default" w:ascii="Times New Roman" w:hAnsi="Times New Roman" w:cs="Times New Roman"/>
      <w:color w:val="000000"/>
      <w:sz w:val="18"/>
      <w:szCs w:val="18"/>
      <w:u w:val="none"/>
    </w:rPr>
  </w:style>
  <w:style w:type="character" w:customStyle="1" w:styleId="15">
    <w:name w:val="font161"/>
    <w:qFormat/>
    <w:uiPriority w:val="0"/>
    <w:rPr>
      <w:rFonts w:ascii="MS Gothic" w:hAnsi="MS Gothic" w:eastAsia="MS Gothic" w:cs="MS Gothic"/>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9600</Words>
  <Characters>11692</Characters>
  <Lines>96</Lines>
  <Paragraphs>27</Paragraphs>
  <TotalTime>7</TotalTime>
  <ScaleCrop>false</ScaleCrop>
  <LinksUpToDate>false</LinksUpToDate>
  <CharactersWithSpaces>11988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2023-02-26T10:25:00Z</dcterms:created>
  <dc:creator>刘 畅</dc:creator>
  <cp:lastModifiedBy>WPS_1637478202</cp:lastModifiedBy>
  <dcterms:modified xsi:type="dcterms:W3CDTF">2023-05-22T08:09:52Z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186E77AA771D42FEABE163C65AA0FA8D</vt:lpwstr>
  </property>
</Properties>
</file>